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rFonts w:ascii="Plus Jakarta Sans" w:hAnsi="Plus Jakarta Sans"/>
          <w:b/>
          <w:color w:val="0F172A"/>
          <w:sz w:val="56"/>
        </w:rPr>
        <w:t>VISUAL IDENTITY &amp;</w:t>
        <w:br/>
        <w:t>AI JUDGMENT AUDIT</w:t>
      </w:r>
    </w:p>
    <w:p>
      <w:pPr>
        <w:jc w:val="center"/>
      </w:pPr>
      <w:r>
        <w:rPr>
          <w:rFonts w:ascii="Inter" w:hAnsi="Inter"/>
          <w:b/>
          <w:color w:val="2563EB"/>
          <w:sz w:val="26"/>
        </w:rPr>
        <w:t>Candidate: Ziyad Alboghdady</w:t>
      </w:r>
    </w:p>
    <w:p>
      <w:pPr>
        <w:jc w:val="center"/>
      </w:pPr>
      <w:r>
        <w:rPr>
          <w:rFonts w:ascii="Inter" w:hAnsi="Inter"/>
          <w:color w:val="475569"/>
          <w:sz w:val="22"/>
        </w:rPr>
        <w:t>Early-Career Backend Software Engineer (.NET / C#)</w:t>
      </w:r>
    </w:p>
    <w:p/>
    <w:p>
      <w:pPr>
        <w:jc w:val="center"/>
      </w:pPr>
      <w:r>
        <w:rPr>
          <w:rFonts w:ascii="Plus Jakarta Sans" w:hAnsi="Plus Jakarta Sans"/>
          <w:b/>
          <w:sz w:val="24"/>
        </w:rPr>
        <w:t>Objective</w:t>
      </w:r>
    </w:p>
    <w:p>
      <w:pPr>
        <w:ind w:left="1152" w:right="1152"/>
        <w:jc w:val="center"/>
      </w:pPr>
      <w:r>
        <w:rPr>
          <w:rFonts w:ascii="Inter" w:hAnsi="Inter"/>
          <w:color w:val="334155"/>
          <w:sz w:val="21"/>
        </w:rPr>
        <w:t>Establish a restrained visual system that frames technical evidence without distraction, applying strict AI curation over decorative clutter.</w:t>
      </w:r>
    </w:p>
    <w:p>
      <w:r>
        <w:br w:type="page"/>
      </w:r>
    </w:p>
    <w:p>
      <w:pPr>
        <w:pStyle w:val="Heading1"/>
      </w:pPr>
      <w:r>
        <w:t>1. Intentional Design System (Zero Decorative Fluff)</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E293B"/>
          </w:tcPr>
          <w:p>
            <w:pPr>
              <w:spacing w:after="40"/>
            </w:pPr>
            <w:r/>
            <w:r>
              <w:rPr>
                <w:rFonts w:ascii="Inter" w:hAnsi="Inter"/>
                <w:b/>
                <w:color w:val="FFFFFF"/>
                <w:sz w:val="19"/>
              </w:rPr>
              <w:t>Design Token</w:t>
            </w:r>
          </w:p>
        </w:tc>
        <w:tc>
          <w:tcPr>
            <w:tcW w:type="dxa" w:w="3312"/>
            <w:vAlign w:val="center"/>
            <w:shd w:fill="1E293B"/>
          </w:tcPr>
          <w:p>
            <w:pPr>
              <w:spacing w:after="40"/>
            </w:pPr>
            <w:r/>
            <w:r>
              <w:rPr>
                <w:rFonts w:ascii="Inter" w:hAnsi="Inter"/>
                <w:b/>
                <w:color w:val="FFFFFF"/>
                <w:sz w:val="19"/>
              </w:rPr>
              <w:t>Specification</w:t>
            </w:r>
          </w:p>
        </w:tc>
        <w:tc>
          <w:tcPr>
            <w:tcW w:type="dxa" w:w="3312"/>
            <w:vAlign w:val="center"/>
            <w:shd w:fill="1E293B"/>
          </w:tcPr>
          <w:p>
            <w:pPr>
              <w:spacing w:after="40"/>
            </w:pPr>
            <w:r/>
            <w:r>
              <w:rPr>
                <w:rFonts w:ascii="Inter" w:hAnsi="Inter"/>
                <w:b/>
                <w:color w:val="FFFFFF"/>
                <w:sz w:val="19"/>
              </w:rPr>
              <w:t>Technical &amp; Functional Rationale</w:t>
            </w:r>
          </w:p>
        </w:tc>
      </w:tr>
      <w:tr>
        <w:tc>
          <w:tcPr>
            <w:tcW w:type="dxa" w:w="3312"/>
            <w:vAlign w:val="center"/>
            <w:shd w:fill="F8FAFC"/>
          </w:tcPr>
          <w:p>
            <w:pPr>
              <w:spacing w:after="40"/>
            </w:pPr>
            <w:r/>
            <w:r>
              <w:rPr>
                <w:rFonts w:ascii="Inter" w:hAnsi="Inter"/>
                <w:b/>
                <w:color w:val="0F172A"/>
                <w:sz w:val="18"/>
              </w:rPr>
              <w:t>Heading Font</w:t>
            </w:r>
          </w:p>
        </w:tc>
        <w:tc>
          <w:tcPr>
            <w:tcW w:type="dxa" w:w="3312"/>
            <w:vAlign w:val="center"/>
          </w:tcPr>
          <w:p>
            <w:pPr>
              <w:spacing w:after="40"/>
            </w:pPr>
            <w:r/>
            <w:r>
              <w:rPr>
                <w:rFonts w:ascii="Inter" w:hAnsi="Inter"/>
                <w:b w:val="0"/>
                <w:color w:val="0F172A"/>
                <w:sz w:val="18"/>
              </w:rPr>
              <w:t>Plus Jakarta Sans (Semi-Bold / Bold, 600–700)</w:t>
            </w:r>
          </w:p>
        </w:tc>
        <w:tc>
          <w:tcPr>
            <w:tcW w:type="dxa" w:w="3312"/>
            <w:vAlign w:val="center"/>
          </w:tcPr>
          <w:p>
            <w:pPr>
              <w:spacing w:after="40"/>
            </w:pPr>
            <w:r/>
            <w:r>
              <w:rPr>
                <w:rFonts w:ascii="Inter" w:hAnsi="Inter"/>
                <w:b w:val="0"/>
                <w:color w:val="0F172A"/>
                <w:sz w:val="18"/>
              </w:rPr>
              <w:t>Modern geometric hierarchy engineered for crisp header scannability.</w:t>
            </w:r>
          </w:p>
        </w:tc>
      </w:tr>
      <w:tr>
        <w:tc>
          <w:tcPr>
            <w:tcW w:type="dxa" w:w="3312"/>
            <w:vAlign w:val="center"/>
            <w:shd w:fill="F8FAFC"/>
          </w:tcPr>
          <w:p>
            <w:pPr>
              <w:spacing w:after="40"/>
            </w:pPr>
            <w:r/>
            <w:r>
              <w:rPr>
                <w:rFonts w:ascii="Inter" w:hAnsi="Inter"/>
                <w:b/>
                <w:color w:val="0F172A"/>
                <w:sz w:val="18"/>
              </w:rPr>
              <w:t>Body Font</w:t>
            </w:r>
          </w:p>
        </w:tc>
        <w:tc>
          <w:tcPr>
            <w:tcW w:type="dxa" w:w="3312"/>
            <w:vAlign w:val="center"/>
          </w:tcPr>
          <w:p>
            <w:pPr>
              <w:spacing w:after="40"/>
            </w:pPr>
            <w:r/>
            <w:r>
              <w:rPr>
                <w:rFonts w:ascii="Inter" w:hAnsi="Inter"/>
                <w:b w:val="0"/>
                <w:color w:val="0F172A"/>
                <w:sz w:val="18"/>
              </w:rPr>
              <w:t>Inter (Regular / Medium, 400–500)</w:t>
            </w:r>
          </w:p>
        </w:tc>
        <w:tc>
          <w:tcPr>
            <w:tcW w:type="dxa" w:w="3312"/>
            <w:vAlign w:val="center"/>
          </w:tcPr>
          <w:p>
            <w:pPr>
              <w:spacing w:after="40"/>
            </w:pPr>
            <w:r/>
            <w:r>
              <w:rPr>
                <w:rFonts w:ascii="Inter" w:hAnsi="Inter"/>
                <w:b w:val="0"/>
                <w:color w:val="0F172A"/>
                <w:sz w:val="18"/>
              </w:rPr>
              <w:t>Neutral, high-legibility type designed for reading architectural case studies.</w:t>
            </w:r>
          </w:p>
        </w:tc>
      </w:tr>
      <w:tr>
        <w:tc>
          <w:tcPr>
            <w:tcW w:type="dxa" w:w="3312"/>
            <w:vAlign w:val="center"/>
            <w:shd w:fill="F8FAFC"/>
          </w:tcPr>
          <w:p>
            <w:pPr>
              <w:spacing w:after="40"/>
            </w:pPr>
            <w:r/>
            <w:r>
              <w:rPr>
                <w:rFonts w:ascii="Inter" w:hAnsi="Inter"/>
                <w:b/>
                <w:color w:val="0F172A"/>
                <w:sz w:val="18"/>
              </w:rPr>
              <w:t>Monospace Font</w:t>
            </w:r>
          </w:p>
        </w:tc>
        <w:tc>
          <w:tcPr>
            <w:tcW w:type="dxa" w:w="3312"/>
            <w:vAlign w:val="center"/>
          </w:tcPr>
          <w:p>
            <w:pPr>
              <w:spacing w:after="40"/>
            </w:pPr>
            <w:r/>
            <w:r>
              <w:rPr>
                <w:rFonts w:ascii="Inter" w:hAnsi="Inter"/>
                <w:b w:val="0"/>
                <w:color w:val="0F172A"/>
                <w:sz w:val="18"/>
              </w:rPr>
              <w:t>JetBrains Mono (Medium, 500)</w:t>
            </w:r>
          </w:p>
        </w:tc>
        <w:tc>
          <w:tcPr>
            <w:tcW w:type="dxa" w:w="3312"/>
            <w:vAlign w:val="center"/>
          </w:tcPr>
          <w:p>
            <w:pPr>
              <w:spacing w:after="40"/>
            </w:pPr>
            <w:r/>
            <w:r>
              <w:rPr>
                <w:rFonts w:ascii="Inter" w:hAnsi="Inter"/>
                <w:b w:val="0"/>
                <w:color w:val="0F172A"/>
                <w:sz w:val="18"/>
              </w:rPr>
              <w:t>Enforces code clarity for API routes, DTOs, SQL schemas, and technical badges.</w:t>
            </w:r>
          </w:p>
        </w:tc>
      </w:tr>
      <w:tr>
        <w:tc>
          <w:tcPr>
            <w:tcW w:type="dxa" w:w="3312"/>
            <w:vAlign w:val="center"/>
            <w:shd w:fill="F8FAFC"/>
          </w:tcPr>
          <w:p>
            <w:pPr>
              <w:spacing w:after="40"/>
            </w:pPr>
            <w:r/>
            <w:r>
              <w:rPr>
                <w:rFonts w:ascii="Inter" w:hAnsi="Inter"/>
                <w:b/>
                <w:color w:val="0F172A"/>
                <w:sz w:val="18"/>
              </w:rPr>
              <w:t>Canvas Background</w:t>
            </w:r>
          </w:p>
        </w:tc>
        <w:tc>
          <w:tcPr>
            <w:tcW w:type="dxa" w:w="3312"/>
            <w:vAlign w:val="center"/>
          </w:tcPr>
          <w:p>
            <w:pPr>
              <w:spacing w:after="40"/>
            </w:pPr>
            <w:r/>
            <w:r>
              <w:rPr>
                <w:rFonts w:ascii="Inter" w:hAnsi="Inter"/>
                <w:b w:val="0"/>
                <w:color w:val="0F172A"/>
                <w:sz w:val="18"/>
              </w:rPr>
              <w:t>#F8FAFC (Slate 50)</w:t>
            </w:r>
          </w:p>
        </w:tc>
        <w:tc>
          <w:tcPr>
            <w:tcW w:type="dxa" w:w="3312"/>
            <w:vAlign w:val="center"/>
          </w:tcPr>
          <w:p>
            <w:pPr>
              <w:spacing w:after="40"/>
            </w:pPr>
            <w:r/>
            <w:r>
              <w:rPr>
                <w:rFonts w:ascii="Inter" w:hAnsi="Inter"/>
                <w:b w:val="0"/>
                <w:color w:val="0F172A"/>
                <w:sz w:val="18"/>
              </w:rPr>
              <w:t>Low-glare, clean neutral surface that keeps focus squarely on technical content.</w:t>
            </w:r>
          </w:p>
        </w:tc>
      </w:tr>
      <w:tr>
        <w:tc>
          <w:tcPr>
            <w:tcW w:type="dxa" w:w="3312"/>
            <w:vAlign w:val="center"/>
            <w:shd w:fill="F8FAFC"/>
          </w:tcPr>
          <w:p>
            <w:pPr>
              <w:spacing w:after="40"/>
            </w:pPr>
            <w:r/>
            <w:r>
              <w:rPr>
                <w:rFonts w:ascii="Inter" w:hAnsi="Inter"/>
                <w:b/>
                <w:color w:val="0F172A"/>
                <w:sz w:val="18"/>
              </w:rPr>
              <w:t>Primary Typography</w:t>
            </w:r>
          </w:p>
        </w:tc>
        <w:tc>
          <w:tcPr>
            <w:tcW w:type="dxa" w:w="3312"/>
            <w:vAlign w:val="center"/>
          </w:tcPr>
          <w:p>
            <w:pPr>
              <w:spacing w:after="40"/>
            </w:pPr>
            <w:r/>
            <w:r>
              <w:rPr>
                <w:rFonts w:ascii="Inter" w:hAnsi="Inter"/>
                <w:b w:val="0"/>
                <w:color w:val="0F172A"/>
                <w:sz w:val="18"/>
              </w:rPr>
              <w:t>#0F172A (Slate 900)</w:t>
            </w:r>
          </w:p>
        </w:tc>
        <w:tc>
          <w:tcPr>
            <w:tcW w:type="dxa" w:w="3312"/>
            <w:vAlign w:val="center"/>
          </w:tcPr>
          <w:p>
            <w:pPr>
              <w:spacing w:after="40"/>
            </w:pPr>
            <w:r/>
            <w:r>
              <w:rPr>
                <w:rFonts w:ascii="Inter" w:hAnsi="Inter"/>
                <w:b w:val="0"/>
                <w:color w:val="0F172A"/>
                <w:sz w:val="18"/>
              </w:rPr>
              <w:t>High-contrast neutral palette designed for accessible, effortless reading.</w:t>
            </w:r>
          </w:p>
        </w:tc>
      </w:tr>
      <w:tr>
        <w:tc>
          <w:tcPr>
            <w:tcW w:type="dxa" w:w="3312"/>
            <w:vAlign w:val="center"/>
            <w:shd w:fill="F8FAFC"/>
          </w:tcPr>
          <w:p>
            <w:pPr>
              <w:spacing w:after="40"/>
            </w:pPr>
            <w:r/>
            <w:r>
              <w:rPr>
                <w:rFonts w:ascii="Inter" w:hAnsi="Inter"/>
                <w:b/>
                <w:color w:val="0F172A"/>
                <w:sz w:val="18"/>
              </w:rPr>
              <w:t>Borders &amp; Dividers</w:t>
            </w:r>
          </w:p>
        </w:tc>
        <w:tc>
          <w:tcPr>
            <w:tcW w:type="dxa" w:w="3312"/>
            <w:vAlign w:val="center"/>
          </w:tcPr>
          <w:p>
            <w:pPr>
              <w:spacing w:after="40"/>
            </w:pPr>
            <w:r/>
            <w:r>
              <w:rPr>
                <w:rFonts w:ascii="Inter" w:hAnsi="Inter"/>
                <w:b w:val="0"/>
                <w:color w:val="0F172A"/>
                <w:sz w:val="18"/>
              </w:rPr>
              <w:t>#E2E8F0 / #1E293B</w:t>
            </w:r>
          </w:p>
        </w:tc>
        <w:tc>
          <w:tcPr>
            <w:tcW w:type="dxa" w:w="3312"/>
            <w:vAlign w:val="center"/>
          </w:tcPr>
          <w:p>
            <w:pPr>
              <w:spacing w:after="40"/>
            </w:pPr>
            <w:r/>
            <w:r>
              <w:rPr>
                <w:rFonts w:ascii="Inter" w:hAnsi="Inter"/>
                <w:b w:val="0"/>
                <w:color w:val="0F172A"/>
                <w:sz w:val="18"/>
              </w:rPr>
              <w:t>Crisp 1px structural boundaries defining case cards and data tables.</w:t>
            </w:r>
          </w:p>
        </w:tc>
      </w:tr>
      <w:tr>
        <w:tc>
          <w:tcPr>
            <w:tcW w:type="dxa" w:w="3312"/>
            <w:vAlign w:val="center"/>
            <w:shd w:fill="F8FAFC"/>
          </w:tcPr>
          <w:p>
            <w:pPr>
              <w:spacing w:after="40"/>
            </w:pPr>
            <w:r/>
            <w:r>
              <w:rPr>
                <w:rFonts w:ascii="Inter" w:hAnsi="Inter"/>
                <w:b/>
                <w:color w:val="0F172A"/>
                <w:sz w:val="18"/>
              </w:rPr>
              <w:t>Technical Accent</w:t>
            </w:r>
          </w:p>
        </w:tc>
        <w:tc>
          <w:tcPr>
            <w:tcW w:type="dxa" w:w="3312"/>
            <w:vAlign w:val="center"/>
          </w:tcPr>
          <w:p>
            <w:pPr>
              <w:spacing w:after="40"/>
            </w:pPr>
            <w:r/>
            <w:r>
              <w:rPr>
                <w:rFonts w:ascii="Inter" w:hAnsi="Inter"/>
                <w:b w:val="0"/>
                <w:color w:val="0F172A"/>
                <w:sz w:val="18"/>
              </w:rPr>
              <w:t>#2563EB (Cobalt Blue)</w:t>
            </w:r>
          </w:p>
        </w:tc>
        <w:tc>
          <w:tcPr>
            <w:tcW w:type="dxa" w:w="3312"/>
            <w:vAlign w:val="center"/>
          </w:tcPr>
          <w:p>
            <w:pPr>
              <w:spacing w:after="40"/>
            </w:pPr>
            <w:r/>
            <w:r>
              <w:rPr>
                <w:rFonts w:ascii="Inter" w:hAnsi="Inter"/>
                <w:b w:val="0"/>
                <w:color w:val="0F172A"/>
                <w:sz w:val="18"/>
              </w:rPr>
              <w:t>Reserved exclusively for interactive elements: primary CTAs, links, and active badges.</w:t>
            </w:r>
          </w:p>
        </w:tc>
      </w:tr>
      <w:tr>
        <w:tc>
          <w:tcPr>
            <w:tcW w:type="dxa" w:w="3312"/>
            <w:vAlign w:val="center"/>
            <w:shd w:fill="F8FAFC"/>
          </w:tcPr>
          <w:p>
            <w:pPr>
              <w:spacing w:after="40"/>
            </w:pPr>
            <w:r/>
            <w:r>
              <w:rPr>
                <w:rFonts w:ascii="Inter" w:hAnsi="Inter"/>
                <w:b/>
                <w:color w:val="0F172A"/>
                <w:sz w:val="18"/>
              </w:rPr>
              <w:t>Spacing Scale</w:t>
            </w:r>
          </w:p>
        </w:tc>
        <w:tc>
          <w:tcPr>
            <w:tcW w:type="dxa" w:w="3312"/>
            <w:vAlign w:val="center"/>
          </w:tcPr>
          <w:p>
            <w:pPr>
              <w:spacing w:after="40"/>
            </w:pPr>
            <w:r/>
            <w:r>
              <w:rPr>
                <w:rFonts w:ascii="Inter" w:hAnsi="Inter"/>
                <w:b w:val="0"/>
                <w:color w:val="0F172A"/>
                <w:sz w:val="18"/>
              </w:rPr>
              <w:t>8px / 16px / 24px / 48px / 64px</w:t>
            </w:r>
          </w:p>
        </w:tc>
        <w:tc>
          <w:tcPr>
            <w:tcW w:type="dxa" w:w="3312"/>
            <w:vAlign w:val="center"/>
          </w:tcPr>
          <w:p>
            <w:pPr>
              <w:spacing w:after="40"/>
            </w:pPr>
            <w:r/>
            <w:r>
              <w:rPr>
                <w:rFonts w:ascii="Inter" w:hAnsi="Inter"/>
                <w:b w:val="0"/>
                <w:color w:val="0F172A"/>
                <w:sz w:val="18"/>
              </w:rPr>
              <w:t>Rigid vertical cadence ensuring uniform structural alignment across all views.</w:t>
            </w:r>
          </w:p>
        </w:tc>
      </w:tr>
    </w:tbl>
    <w:p/>
    <w:p>
      <w:pPr>
        <w:pStyle w:val="Heading1"/>
      </w:pPr>
      <w:r>
        <w:t>2. The Framing Rule: Scaffolding Over Ornamentation</w:t>
      </w:r>
    </w:p>
    <w:p>
      <w:pPr>
        <w:pStyle w:val="ListBullet"/>
        <w:spacing w:after="80"/>
        <w:ind w:left="360"/>
      </w:pPr>
      <w:r>
        <w:t>Hero Hierarchy: Displays the core value proposition directly ("I turn real requirements into reliable, secure, and maintainable backend software") alongside direct action buttons (Explore My Work, View GitHub, Contact Me) and stack badges (ASP.NET Core, C#, PostgreSQL, EF Core, SignalR).</w:t>
      </w:r>
    </w:p>
    <w:p>
      <w:pPr>
        <w:pStyle w:val="ListBullet"/>
        <w:spacing w:after="80"/>
        <w:ind w:left="360"/>
      </w:pPr>
      <w:r>
        <w:t>No UI Vanity: UI layouts exist purely to frame engineering decisions. Complex animations, decorative 3D models, and high-saturation background gradients are rejected.</w:t>
      </w:r>
    </w:p>
    <w:p>
      <w:pPr>
        <w:pStyle w:val="ListBullet"/>
        <w:spacing w:after="80"/>
        <w:ind w:left="360"/>
      </w:pPr>
      <w:r>
        <w:t>Three-Beat Scannability: Every case study card adheres strictly to a predictable, review-friendly flow: The Problem → What I Did &amp; Decided → What Came of It.</w:t>
      </w:r>
    </w:p>
    <w:p>
      <w:pPr>
        <w:pStyle w:val="Heading1"/>
      </w:pPr>
      <w:r>
        <w:t>3. Visual Mockups &amp; Page Integration</w:t>
      </w:r>
    </w:p>
    <w:p>
      <w:pPr>
        <w:pStyle w:val="Heading2"/>
      </w:pPr>
      <w:r>
        <w:t>A. Homepage Wireframe Layout</w:t>
      </w:r>
    </w:p>
    <w:tbl>
      <w:tblPr>
        <w:tblW w:type="auto" w:w="0"/>
        <w:jc w:val="center"/>
        <w:tblLook w:firstColumn="1" w:firstRow="1" w:lastColumn="0" w:lastRow="0" w:noHBand="0" w:noVBand="1" w:val="04A0"/>
      </w:tblPr>
      <w:tblGrid>
        <w:gridCol w:w="9936"/>
      </w:tblGrid>
      <w:tr>
        <w:tc>
          <w:tcPr>
            <w:tcW w:type="dxa" w:w="9936"/>
            <w:shd w:fill="0F172A"/>
          </w:tcPr>
          <w:p>
            <w:pPr>
              <w:spacing w:after="0"/>
            </w:pPr>
            <w:r/>
            <w:r>
              <w:rPr>
                <w:rFonts w:ascii="JetBrains Mono" w:hAnsi="JetBrains Mono"/>
                <w:color w:val="F8FAFC"/>
                <w:sz w:val="16"/>
              </w:rPr>
              <w:t>+-----------------------------------------------------------------------------------------+</w:t>
              <w:br/>
            </w:r>
            <w:r>
              <w:rPr>
                <w:rFonts w:ascii="JetBrains Mono" w:hAnsi="JetBrains Mono"/>
                <w:color w:val="F8FAFC"/>
                <w:sz w:val="16"/>
              </w:rPr>
              <w:t>| [ZB] ZIYAD ALBOGHDADY           /projects    /about    /contact       [ Download CV ]   |</w:t>
              <w:br/>
            </w:r>
            <w:r>
              <w:rPr>
                <w:rFonts w:ascii="JetBrains Mono" w:hAnsi="JetBrains Mono"/>
                <w:color w:val="F8FAFC"/>
                <w:sz w:val="16"/>
              </w:rPr>
              <w:t>+-----------------------------------------------------------------------------------------+</w:t>
              <w:br/>
            </w:r>
            <w:r>
              <w:rPr>
                <w:rFonts w:ascii="JetBrains Mono" w:hAnsi="JetBrains Mono"/>
                <w:color w:val="F8FAFC"/>
                <w:sz w:val="16"/>
              </w:rPr>
              <w:t>|                                                                                         |</w:t>
              <w:br/>
            </w:r>
            <w:r>
              <w:rPr>
                <w:rFonts w:ascii="JetBrains Mono" w:hAnsi="JetBrains Mono"/>
                <w:color w:val="F8FAFC"/>
                <w:sz w:val="16"/>
              </w:rPr>
              <w:t>|   BACKEND SOFTWARE ENGINEER                                                             |</w:t>
              <w:br/>
            </w:r>
            <w:r>
              <w:rPr>
                <w:rFonts w:ascii="JetBrains Mono" w:hAnsi="JetBrains Mono"/>
                <w:color w:val="F8FAFC"/>
                <w:sz w:val="16"/>
              </w:rPr>
              <w:t>|   I turn real requirements into reliable, secure, and maintainable backend software.    |</w:t>
              <w:br/>
            </w:r>
            <w:r>
              <w:rPr>
                <w:rFonts w:ascii="JetBrains Mono" w:hAnsi="JetBrains Mono"/>
                <w:color w:val="F8FAFC"/>
                <w:sz w:val="16"/>
              </w:rPr>
              <w:t>|                                                                                         |</w:t>
              <w:br/>
            </w:r>
            <w:r>
              <w:rPr>
                <w:rFonts w:ascii="JetBrains Mono" w:hAnsi="JetBrains Mono"/>
                <w:color w:val="F8FAFC"/>
                <w:sz w:val="16"/>
              </w:rPr>
              <w:t>|   [ ASP.NET Core ]  [ C# ]  [ PostgreSQL ]  [ EF Core ]  [ SignalR ]  [ Spring Boot ]   |</w:t>
              <w:br/>
            </w:r>
            <w:r>
              <w:rPr>
                <w:rFonts w:ascii="JetBrains Mono" w:hAnsi="JetBrains Mono"/>
                <w:color w:val="F8FAFC"/>
                <w:sz w:val="16"/>
              </w:rPr>
              <w:t>|                                                                                         |</w:t>
              <w:br/>
            </w:r>
            <w:r>
              <w:rPr>
                <w:rFonts w:ascii="JetBrains Mono" w:hAnsi="JetBrains Mono"/>
                <w:color w:val="F8FAFC"/>
                <w:sz w:val="16"/>
              </w:rPr>
              <w:t>|   [ Explore My Work → ]       [ View GitHub ]       [ Contact Me ]                      |</w:t>
              <w:br/>
            </w:r>
            <w:r>
              <w:rPr>
                <w:rFonts w:ascii="JetBrains Mono" w:hAnsi="JetBrains Mono"/>
                <w:color w:val="F8FAFC"/>
                <w:sz w:val="16"/>
              </w:rPr>
              <w:t>|                                                                                         |</w:t>
              <w:br/>
            </w:r>
            <w:r>
              <w:rPr>
                <w:rFonts w:ascii="JetBrains Mono" w:hAnsi="JetBrains Mono"/>
                <w:color w:val="F8FAFC"/>
                <w:sz w:val="16"/>
              </w:rPr>
              <w:t>+-----------------------------------------------------------------------------------------+</w:t>
              <w:br/>
            </w:r>
            <w:r>
              <w:rPr>
                <w:rFonts w:ascii="JetBrains Mono" w:hAnsi="JetBrains Mono"/>
                <w:color w:val="F8FAFC"/>
                <w:sz w:val="16"/>
              </w:rPr>
              <w:t>| FEATURED CASE STUDIES                                                                   |</w:t>
              <w:br/>
            </w:r>
            <w:r>
              <w:rPr>
                <w:rFonts w:ascii="JetBrains Mono" w:hAnsi="JetBrains Mono"/>
                <w:color w:val="F8FAFC"/>
                <w:sz w:val="16"/>
              </w:rPr>
              <w:t>| +-----------------------------------------+ +-----------------------------------------+ |</w:t>
              <w:br/>
            </w:r>
            <w:r>
              <w:rPr>
                <w:rFonts w:ascii="JetBrains Mono" w:hAnsi="JetBrains Mono"/>
                <w:color w:val="F8FAFC"/>
                <w:sz w:val="16"/>
              </w:rPr>
              <w:t>| | Task Management REST API                | | Car Rental Management System            | |</w:t>
              <w:br/>
            </w:r>
            <w:r>
              <w:rPr>
                <w:rFonts w:ascii="JetBrains Mono" w:hAnsi="JetBrains Mono"/>
                <w:color w:val="F8FAFC"/>
                <w:sz w:val="16"/>
              </w:rPr>
              <w:t>| | 3-Layer architecture with DTOs &amp; DI     | | 14-table PostgreSQL schema &amp; MVC auth   | |</w:t>
              <w:br/>
            </w:r>
            <w:r>
              <w:rPr>
                <w:rFonts w:ascii="JetBrains Mono" w:hAnsi="JetBrains Mono"/>
                <w:color w:val="F8FAFC"/>
                <w:sz w:val="16"/>
              </w:rPr>
              <w:t>| | [ View Architecture Breakdown → ]       | | [ View Schema &amp; Decisions → ]           | |</w:t>
              <w:br/>
            </w:r>
            <w:r>
              <w:rPr>
                <w:rFonts w:ascii="JetBrains Mono" w:hAnsi="JetBrains Mono"/>
                <w:color w:val="F8FAFC"/>
                <w:sz w:val="16"/>
              </w:rPr>
              <w:t>| +-----------------------------------------+ +-----------------------------------------+ |</w:t>
              <w:br/>
            </w:r>
            <w:r>
              <w:rPr>
                <w:rFonts w:ascii="JetBrains Mono" w:hAnsi="JetBrains Mono"/>
                <w:color w:val="F8FAFC"/>
                <w:sz w:val="16"/>
              </w:rPr>
              <w:t>+-----------------------------------------------------------------------------------------+</w:t>
            </w:r>
          </w:p>
        </w:tc>
      </w:tr>
    </w:tbl>
    <w:p>
      <w:pPr>
        <w:spacing w:after="0"/>
      </w:pPr>
    </w:p>
    <w:p>
      <w:pPr>
        <w:pStyle w:val="Heading2"/>
      </w:pPr>
      <w:r>
        <w:t>B. Project Card &amp; Technical Artifact Integration Mockup</w:t>
      </w:r>
    </w:p>
    <w:tbl>
      <w:tblPr>
        <w:tblW w:type="auto" w:w="0"/>
        <w:jc w:val="center"/>
        <w:tblLook w:firstColumn="1" w:firstRow="1" w:lastColumn="0" w:lastRow="0" w:noHBand="0" w:noVBand="1" w:val="04A0"/>
      </w:tblPr>
      <w:tblGrid>
        <w:gridCol w:w="9936"/>
      </w:tblGrid>
      <w:tr>
        <w:tc>
          <w:tcPr>
            <w:tcW w:type="dxa" w:w="9936"/>
            <w:shd w:fill="0F172A"/>
          </w:tcPr>
          <w:p>
            <w:pPr>
              <w:spacing w:after="0"/>
            </w:pPr>
            <w:r/>
            <w:r>
              <w:rPr>
                <w:rFonts w:ascii="JetBrains Mono" w:hAnsi="JetBrains Mono"/>
                <w:color w:val="F8FAFC"/>
                <w:sz w:val="16"/>
              </w:rPr>
              <w:t>+-----------------------------------------------------------------------------------------+</w:t>
              <w:br/>
            </w:r>
            <w:r>
              <w:rPr>
                <w:rFonts w:ascii="JetBrains Mono" w:hAnsi="JetBrains Mono"/>
                <w:color w:val="F8FAFC"/>
                <w:sz w:val="16"/>
              </w:rPr>
              <w:t>| CASE STUDY: TASK MANAGEMENT REST API                                                    |</w:t>
              <w:br/>
            </w:r>
            <w:r>
              <w:rPr>
                <w:rFonts w:ascii="JetBrains Mono" w:hAnsi="JetBrains Mono"/>
                <w:color w:val="F8FAFC"/>
                <w:sz w:val="16"/>
              </w:rPr>
              <w:t>| Stack: ASP.NET Core Web API | C# | ConcurrentDictionary | OpenAPI / Swagger             |</w:t>
              <w:br/>
            </w:r>
            <w:r>
              <w:rPr>
                <w:rFonts w:ascii="JetBrains Mono" w:hAnsi="JetBrains Mono"/>
                <w:color w:val="F8FAFC"/>
                <w:sz w:val="16"/>
              </w:rPr>
              <w:t>+-----------------------------------------------------------------------------------------+</w:t>
              <w:br/>
            </w:r>
            <w:r>
              <w:rPr>
                <w:rFonts w:ascii="JetBrains Mono" w:hAnsi="JetBrains Mono"/>
                <w:color w:val="F8FAFC"/>
                <w:sz w:val="16"/>
              </w:rPr>
              <w:t>| [ AUTHENTIC ARTIFACT: 3-LAYER ARCHITECTURAL FLOW ]                                      |</w:t>
              <w:br/>
            </w:r>
            <w:r>
              <w:rPr>
                <w:rFonts w:ascii="JetBrains Mono" w:hAnsi="JetBrains Mono"/>
                <w:color w:val="F8FAFC"/>
                <w:sz w:val="16"/>
              </w:rPr>
              <w:t>|                                                                                         |</w:t>
              <w:br/>
            </w:r>
            <w:r>
              <w:rPr>
                <w:rFonts w:ascii="JetBrains Mono" w:hAnsi="JetBrains Mono"/>
                <w:color w:val="F8FAFC"/>
                <w:sz w:val="16"/>
              </w:rPr>
              <w:t>|   [ HTTP Request: POST /api/tasks ]                                                     |</w:t>
              <w:br/>
            </w:r>
            <w:r>
              <w:rPr>
                <w:rFonts w:ascii="JetBrains Mono" w:hAnsi="JetBrains Mono"/>
                <w:color w:val="F8FAFC"/>
                <w:sz w:val="16"/>
              </w:rPr>
              <w:t>|                 │                                                                       |</w:t>
              <w:br/>
            </w:r>
            <w:r>
              <w:rPr>
                <w:rFonts w:ascii="JetBrains Mono" w:hAnsi="JetBrains Mono"/>
                <w:color w:val="F8FAFC"/>
                <w:sz w:val="16"/>
              </w:rPr>
              <w:t>|                 ▼                                                                       |</w:t>
              <w:br/>
            </w:r>
            <w:r>
              <w:rPr>
                <w:rFonts w:ascii="JetBrains Mono" w:hAnsi="JetBrains Mono"/>
                <w:color w:val="F8FAFC"/>
                <w:sz w:val="16"/>
              </w:rPr>
              <w:t>|   ┌────────────────────────────────────────────────────────┐                            |</w:t>
              <w:br/>
            </w:r>
            <w:r>
              <w:rPr>
                <w:rFonts w:ascii="JetBrains Mono" w:hAnsi="JetBrains Mono"/>
                <w:color w:val="F8FAFC"/>
                <w:sz w:val="16"/>
              </w:rPr>
              <w:t>|   │ 1. Controller Layer: TasksController.cs                │                            |</w:t>
              <w:br/>
            </w:r>
            <w:r>
              <w:rPr>
                <w:rFonts w:ascii="JetBrains Mono" w:hAnsi="JetBrains Mono"/>
                <w:color w:val="F8FAFC"/>
                <w:sz w:val="16"/>
              </w:rPr>
              <w:t>|   │    - Validates CreateTaskDto via Data Annotations      │                            |</w:t>
              <w:br/>
            </w:r>
            <w:r>
              <w:rPr>
                <w:rFonts w:ascii="JetBrains Mono" w:hAnsi="JetBrains Mono"/>
                <w:color w:val="F8FAFC"/>
                <w:sz w:val="16"/>
              </w:rPr>
              <w:t>|   └─────────────────────────┬──────────────────────────────┘                            |</w:t>
              <w:br/>
            </w:r>
            <w:r>
              <w:rPr>
                <w:rFonts w:ascii="JetBrains Mono" w:hAnsi="JetBrains Mono"/>
                <w:color w:val="F8FAFC"/>
                <w:sz w:val="16"/>
              </w:rPr>
              <w:t>|                             ▼                                                           |</w:t>
              <w:br/>
            </w:r>
            <w:r>
              <w:rPr>
                <w:rFonts w:ascii="JetBrains Mono" w:hAnsi="JetBrains Mono"/>
                <w:color w:val="F8FAFC"/>
                <w:sz w:val="16"/>
              </w:rPr>
              <w:t>|   ┌────────────────────────────────────────────────────────┐                            |</w:t>
              <w:br/>
            </w:r>
            <w:r>
              <w:rPr>
                <w:rFonts w:ascii="JetBrains Mono" w:hAnsi="JetBrains Mono"/>
                <w:color w:val="F8FAFC"/>
                <w:sz w:val="16"/>
              </w:rPr>
              <w:t>|   │ 2. Service Layer: TasksService.cs                      │                            |</w:t>
              <w:br/>
            </w:r>
            <w:r>
              <w:rPr>
                <w:rFonts w:ascii="JetBrains Mono" w:hAnsi="JetBrains Mono"/>
                <w:color w:val="F8FAFC"/>
                <w:sz w:val="16"/>
              </w:rPr>
              <w:t>|   │    - Executes domain logic; throws NotFoundException   │                            |</w:t>
              <w:br/>
            </w:r>
            <w:r>
              <w:rPr>
                <w:rFonts w:ascii="JetBrains Mono" w:hAnsi="JetBrains Mono"/>
                <w:color w:val="F8FAFC"/>
                <w:sz w:val="16"/>
              </w:rPr>
              <w:t>|   └─────────────────────────┬──────────────────────────────┘                            |</w:t>
              <w:br/>
            </w:r>
            <w:r>
              <w:rPr>
                <w:rFonts w:ascii="JetBrains Mono" w:hAnsi="JetBrains Mono"/>
                <w:color w:val="F8FAFC"/>
                <w:sz w:val="16"/>
              </w:rPr>
              <w:t>|                             ▼                                                           |</w:t>
              <w:br/>
            </w:r>
            <w:r>
              <w:rPr>
                <w:rFonts w:ascii="JetBrains Mono" w:hAnsi="JetBrains Mono"/>
                <w:color w:val="F8FAFC"/>
                <w:sz w:val="16"/>
              </w:rPr>
              <w:t>|   ┌────────────────────────────────────────────────────────┐                            |</w:t>
              <w:br/>
            </w:r>
            <w:r>
              <w:rPr>
                <w:rFonts w:ascii="JetBrains Mono" w:hAnsi="JetBrains Mono"/>
                <w:color w:val="F8FAFC"/>
                <w:sz w:val="16"/>
              </w:rPr>
              <w:t>|   │ 3. Persistence Layer: TasksRepository.cs               │                            |</w:t>
              <w:br/>
            </w:r>
            <w:r>
              <w:rPr>
                <w:rFonts w:ascii="JetBrains Mono" w:hAnsi="JetBrains Mono"/>
                <w:color w:val="F8FAFC"/>
                <w:sz w:val="16"/>
              </w:rPr>
              <w:t>|   │    - Implements ITasksRepository (ConcurrentDictionary)│                            |</w:t>
              <w:br/>
            </w:r>
            <w:r>
              <w:rPr>
                <w:rFonts w:ascii="JetBrains Mono" w:hAnsi="JetBrains Mono"/>
                <w:color w:val="F8FAFC"/>
                <w:sz w:val="16"/>
              </w:rPr>
              <w:t>|   └────────────────────────────────────────────────────────┘                            |</w:t>
              <w:br/>
            </w:r>
            <w:r>
              <w:rPr>
                <w:rFonts w:ascii="JetBrains Mono" w:hAnsi="JetBrains Mono"/>
                <w:color w:val="F8FAFC"/>
                <w:sz w:val="16"/>
              </w:rPr>
              <w:t>+-----------------------------------------------------------------------------------------+</w:t>
              <w:br/>
            </w:r>
            <w:r>
              <w:rPr>
                <w:rFonts w:ascii="JetBrains Mono" w:hAnsi="JetBrains Mono"/>
                <w:color w:val="F8FAFC"/>
                <w:sz w:val="16"/>
              </w:rPr>
              <w:t>| 1. THE PROBLEM                                                                          |</w:t>
              <w:br/>
            </w:r>
            <w:r>
              <w:rPr>
                <w:rFonts w:ascii="JetBrains Mono" w:hAnsi="JetBrains Mono"/>
                <w:color w:val="F8FAFC"/>
                <w:sz w:val="16"/>
              </w:rPr>
              <w:t>|    Refactoring unstructured prototype code into a maintainable ASP.NET Core Web API    |</w:t>
              <w:br/>
            </w:r>
            <w:r>
              <w:rPr>
                <w:rFonts w:ascii="JetBrains Mono" w:hAnsi="JetBrains Mono"/>
                <w:color w:val="F8FAFC"/>
                <w:sz w:val="16"/>
              </w:rPr>
              <w:t>|    without leaking persistence logic into HTTP transport layers.                       |</w:t>
              <w:br/>
            </w:r>
            <w:r>
              <w:rPr>
                <w:rFonts w:ascii="JetBrains Mono" w:hAnsi="JetBrains Mono"/>
                <w:color w:val="F8FAFC"/>
                <w:sz w:val="16"/>
              </w:rPr>
              <w:t>|                                                                                         |</w:t>
              <w:br/>
            </w:r>
            <w:r>
              <w:rPr>
                <w:rFonts w:ascii="JetBrains Mono" w:hAnsi="JetBrains Mono"/>
                <w:color w:val="F8FAFC"/>
                <w:sz w:val="16"/>
              </w:rPr>
              <w:t>| 2. ARCHITECTURAL DECISIONS                                                              |</w:t>
              <w:br/>
            </w:r>
            <w:r>
              <w:rPr>
                <w:rFonts w:ascii="JetBrains Mono" w:hAnsi="JetBrains Mono"/>
                <w:color w:val="F8FAFC"/>
                <w:sz w:val="16"/>
              </w:rPr>
              <w:t>|    - Separated concerns into Controllers, Services, and Repositories via DI interfaces.|</w:t>
              <w:br/>
            </w:r>
            <w:r>
              <w:rPr>
                <w:rFonts w:ascii="JetBrains Mono" w:hAnsi="JetBrains Mono"/>
                <w:color w:val="F8FAFC"/>
                <w:sz w:val="16"/>
              </w:rPr>
              <w:t>|    - Created DTO records with Data Annotations to enforce validation and prevent bugs.  |</w:t>
              <w:br/>
            </w:r>
            <w:r>
              <w:rPr>
                <w:rFonts w:ascii="JetBrains Mono" w:hAnsi="JetBrains Mono"/>
                <w:color w:val="F8FAFC"/>
                <w:sz w:val="16"/>
              </w:rPr>
              <w:t>|    - Implemented centralized ErrorHandlerMiddleware for consistent JSON status codes.   |</w:t>
              <w:br/>
            </w:r>
            <w:r>
              <w:rPr>
                <w:rFonts w:ascii="JetBrains Mono" w:hAnsi="JetBrains Mono"/>
                <w:color w:val="F8FAFC"/>
                <w:sz w:val="16"/>
              </w:rPr>
              <w:t>|                                                                                         |</w:t>
              <w:br/>
            </w:r>
            <w:r>
              <w:rPr>
                <w:rFonts w:ascii="JetBrains Mono" w:hAnsi="JetBrains Mono"/>
                <w:color w:val="F8FAFC"/>
                <w:sz w:val="16"/>
              </w:rPr>
              <w:t>| 3. MEASURABLE OUTCOME                                                                   |</w:t>
              <w:br/>
            </w:r>
            <w:r>
              <w:rPr>
                <w:rFonts w:ascii="JetBrains Mono" w:hAnsi="JetBrains Mono"/>
                <w:color w:val="F8FAFC"/>
                <w:sz w:val="16"/>
              </w:rPr>
              <w:t>|    - Clear separation of persistence logic, making the service easier to test &amp; expand. |</w:t>
              <w:br/>
            </w:r>
            <w:r>
              <w:rPr>
                <w:rFonts w:ascii="JetBrains Mono" w:hAnsi="JetBrains Mono"/>
                <w:color w:val="F8FAFC"/>
                <w:sz w:val="16"/>
              </w:rPr>
              <w:t>+-----------------------------------------------------------------------------------------+</w:t>
              <w:br/>
            </w:r>
            <w:r>
              <w:rPr>
                <w:rFonts w:ascii="JetBrains Mono" w:hAnsi="JetBrains Mono"/>
                <w:color w:val="F8FAFC"/>
                <w:sz w:val="16"/>
              </w:rPr>
              <w:t>| [ View GitHub Repository ]                     [ Inspect requests.http Test Scripts ]   |</w:t>
              <w:br/>
            </w:r>
            <w:r>
              <w:rPr>
                <w:rFonts w:ascii="JetBrains Mono" w:hAnsi="JetBrains Mono"/>
                <w:color w:val="F8FAFC"/>
                <w:sz w:val="16"/>
              </w:rPr>
              <w:t>+-----------------------------------------------------------------------------------------+</w:t>
            </w:r>
          </w:p>
        </w:tc>
      </w:tr>
    </w:tbl>
    <w:p>
      <w:pPr>
        <w:spacing w:after="0"/>
      </w:pPr>
    </w:p>
    <w:p>
      <w:pPr>
        <w:pStyle w:val="Heading1"/>
      </w:pPr>
      <w:r>
        <w:t>4. AI Asset Curation Matrix: AI vs. Real Technical Proof</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1E293B"/>
          </w:tcPr>
          <w:p>
            <w:pPr>
              <w:spacing w:after="40"/>
            </w:pPr>
            <w:r/>
            <w:r>
              <w:rPr>
                <w:rFonts w:ascii="Inter" w:hAnsi="Inter"/>
                <w:b/>
                <w:color w:val="FFFFFF"/>
                <w:sz w:val="17"/>
              </w:rPr>
              <w:t>Target Placement</w:t>
            </w:r>
          </w:p>
        </w:tc>
        <w:tc>
          <w:tcPr>
            <w:tcW w:type="dxa" w:w="2484"/>
            <w:vAlign w:val="center"/>
            <w:shd w:fill="1E293B"/>
          </w:tcPr>
          <w:p>
            <w:pPr>
              <w:spacing w:after="40"/>
            </w:pPr>
            <w:r/>
            <w:r>
              <w:rPr>
                <w:rFonts w:ascii="Inter" w:hAnsi="Inter"/>
                <w:b/>
                <w:color w:val="FFFFFF"/>
                <w:sz w:val="17"/>
              </w:rPr>
              <w:t>Evaluated AI Generated Option</w:t>
            </w:r>
          </w:p>
        </w:tc>
        <w:tc>
          <w:tcPr>
            <w:tcW w:type="dxa" w:w="2484"/>
            <w:vAlign w:val="center"/>
            <w:shd w:fill="1E293B"/>
          </w:tcPr>
          <w:p>
            <w:pPr>
              <w:spacing w:after="40"/>
            </w:pPr>
            <w:r/>
            <w:r>
              <w:rPr>
                <w:rFonts w:ascii="Inter" w:hAnsi="Inter"/>
                <w:b/>
                <w:color w:val="FFFFFF"/>
                <w:sz w:val="17"/>
              </w:rPr>
              <w:t>Chosen Authentic Artifact</w:t>
            </w:r>
          </w:p>
        </w:tc>
        <w:tc>
          <w:tcPr>
            <w:tcW w:type="dxa" w:w="2484"/>
            <w:vAlign w:val="center"/>
            <w:shd w:fill="1E293B"/>
          </w:tcPr>
          <w:p>
            <w:pPr>
              <w:spacing w:after="40"/>
            </w:pPr>
            <w:r/>
            <w:r>
              <w:rPr>
                <w:rFonts w:ascii="Inter" w:hAnsi="Inter"/>
                <w:b/>
                <w:color w:val="FFFFFF"/>
                <w:sz w:val="17"/>
              </w:rPr>
              <w:t>Judgment Verdict &amp; Engineering Justification</w:t>
            </w:r>
          </w:p>
        </w:tc>
      </w:tr>
      <w:tr>
        <w:tc>
          <w:tcPr>
            <w:tcW w:type="dxa" w:w="2484"/>
            <w:vAlign w:val="center"/>
            <w:shd w:fill="F8FAFC"/>
          </w:tcPr>
          <w:p>
            <w:pPr>
              <w:spacing w:after="40"/>
            </w:pPr>
            <w:r/>
            <w:r>
              <w:rPr>
                <w:rFonts w:ascii="Inter" w:hAnsi="Inter"/>
                <w:b/>
                <w:color w:val="0F172A"/>
                <w:sz w:val="16"/>
              </w:rPr>
              <w:t>Task Management REST API</w:t>
            </w:r>
          </w:p>
        </w:tc>
        <w:tc>
          <w:tcPr>
            <w:tcW w:type="dxa" w:w="2484"/>
            <w:vAlign w:val="center"/>
          </w:tcPr>
          <w:p>
            <w:pPr>
              <w:spacing w:after="40"/>
            </w:pPr>
            <w:r/>
            <w:r>
              <w:rPr>
                <w:rFonts w:ascii="Inter" w:hAnsi="Inter"/>
                <w:b w:val="0"/>
                <w:color w:val="0F172A"/>
                <w:sz w:val="16"/>
              </w:rPr>
              <w:t>Abstract 3D illustration of a floating cloud database with glowing neon nodes.</w:t>
            </w:r>
          </w:p>
        </w:tc>
        <w:tc>
          <w:tcPr>
            <w:tcW w:type="dxa" w:w="2484"/>
            <w:vAlign w:val="center"/>
          </w:tcPr>
          <w:p>
            <w:pPr>
              <w:spacing w:after="40"/>
            </w:pPr>
            <w:r/>
            <w:r>
              <w:rPr>
                <w:rFonts w:ascii="Inter" w:hAnsi="Inter"/>
                <w:b w:val="0"/>
                <w:color w:val="0F172A"/>
                <w:sz w:val="16"/>
              </w:rPr>
              <w:t>Interactive Swagger UI screencap &amp; SVG 3-Layer Flow Diagram.</w:t>
            </w:r>
          </w:p>
        </w:tc>
        <w:tc>
          <w:tcPr>
            <w:tcW w:type="dxa" w:w="2484"/>
            <w:vAlign w:val="center"/>
          </w:tcPr>
          <w:p>
            <w:pPr>
              <w:spacing w:after="40"/>
            </w:pPr>
            <w:r/>
            <w:r>
              <w:rPr>
                <w:rFonts w:ascii="Inter" w:hAnsi="Inter"/>
                <w:b w:val="0"/>
                <w:color w:val="0F172A"/>
                <w:sz w:val="16"/>
              </w:rPr>
              <w:t>Choose Real Artifact. A Swagger capture and layered architecture flow diagram verify endpoint boundaries, DTO schemas, and proper middleware error handling.</w:t>
            </w:r>
          </w:p>
        </w:tc>
      </w:tr>
      <w:tr>
        <w:tc>
          <w:tcPr>
            <w:tcW w:type="dxa" w:w="2484"/>
            <w:vAlign w:val="center"/>
            <w:shd w:fill="F8FAFC"/>
          </w:tcPr>
          <w:p>
            <w:pPr>
              <w:spacing w:after="40"/>
            </w:pPr>
            <w:r/>
            <w:r>
              <w:rPr>
                <w:rFonts w:ascii="Inter" w:hAnsi="Inter"/>
                <w:b/>
                <w:color w:val="0F172A"/>
                <w:sz w:val="16"/>
              </w:rPr>
              <w:t>Car Rental Management System</w:t>
            </w:r>
          </w:p>
        </w:tc>
        <w:tc>
          <w:tcPr>
            <w:tcW w:type="dxa" w:w="2484"/>
            <w:vAlign w:val="center"/>
          </w:tcPr>
          <w:p>
            <w:pPr>
              <w:spacing w:after="40"/>
            </w:pPr>
            <w:r/>
            <w:r>
              <w:rPr>
                <w:rFonts w:ascii="Inter" w:hAnsi="Inter"/>
                <w:b w:val="0"/>
                <w:color w:val="0F172A"/>
                <w:sz w:val="16"/>
              </w:rPr>
              <w:t>Hyper-realistic AI stock render of an exotic sports car on an open highway.</w:t>
            </w:r>
          </w:p>
        </w:tc>
        <w:tc>
          <w:tcPr>
            <w:tcW w:type="dxa" w:w="2484"/>
            <w:vAlign w:val="center"/>
          </w:tcPr>
          <w:p>
            <w:pPr>
              <w:spacing w:after="40"/>
            </w:pPr>
            <w:r/>
            <w:r>
              <w:rPr>
                <w:rFonts w:ascii="Inter" w:hAnsi="Inter"/>
                <w:b w:val="0"/>
                <w:color w:val="0F172A"/>
                <w:sz w:val="16"/>
              </w:rPr>
              <w:t>Exported 14-Table PostgreSQL ERD Schema.</w:t>
            </w:r>
          </w:p>
        </w:tc>
        <w:tc>
          <w:tcPr>
            <w:tcW w:type="dxa" w:w="2484"/>
            <w:vAlign w:val="center"/>
          </w:tcPr>
          <w:p>
            <w:pPr>
              <w:spacing w:after="40"/>
            </w:pPr>
            <w:r/>
            <w:r>
              <w:rPr>
                <w:rFonts w:ascii="Inter" w:hAnsi="Inter"/>
                <w:b w:val="0"/>
                <w:color w:val="0F172A"/>
                <w:sz w:val="16"/>
              </w:rPr>
              <w:t>Choose Real Artifact. Engineering managers evaluate relational database integrity, foreign keys, and normalized schemas rather than decorative automotive photos.</w:t>
            </w:r>
          </w:p>
        </w:tc>
      </w:tr>
      <w:tr>
        <w:tc>
          <w:tcPr>
            <w:tcW w:type="dxa" w:w="2484"/>
            <w:vAlign w:val="center"/>
            <w:shd w:fill="F8FAFC"/>
          </w:tcPr>
          <w:p>
            <w:pPr>
              <w:spacing w:after="40"/>
            </w:pPr>
            <w:r/>
            <w:r>
              <w:rPr>
                <w:rFonts w:ascii="Inter" w:hAnsi="Inter"/>
                <w:b/>
                <w:color w:val="0F172A"/>
                <w:sz w:val="16"/>
              </w:rPr>
              <w:t>Real-Time Communication Platform</w:t>
            </w:r>
          </w:p>
        </w:tc>
        <w:tc>
          <w:tcPr>
            <w:tcW w:type="dxa" w:w="2484"/>
            <w:vAlign w:val="center"/>
          </w:tcPr>
          <w:p>
            <w:pPr>
              <w:spacing w:after="40"/>
            </w:pPr>
            <w:r/>
            <w:r>
              <w:rPr>
                <w:rFonts w:ascii="Inter" w:hAnsi="Inter"/>
                <w:b w:val="0"/>
                <w:color w:val="0F172A"/>
                <w:sz w:val="16"/>
              </w:rPr>
              <w:t>Futuristic AI graphic of holographic chat bubbles hovering over a smartphone.</w:t>
            </w:r>
          </w:p>
        </w:tc>
        <w:tc>
          <w:tcPr>
            <w:tcW w:type="dxa" w:w="2484"/>
            <w:vAlign w:val="center"/>
          </w:tcPr>
          <w:p>
            <w:pPr>
              <w:spacing w:after="40"/>
            </w:pPr>
            <w:r/>
            <w:r>
              <w:rPr>
                <w:rFonts w:ascii="Inter" w:hAnsi="Inter"/>
                <w:b w:val="0"/>
                <w:color w:val="0F172A"/>
                <w:sz w:val="16"/>
              </w:rPr>
              <w:t>Dual-window screencap/GIF demonstrating SignalR room routing.</w:t>
            </w:r>
          </w:p>
        </w:tc>
        <w:tc>
          <w:tcPr>
            <w:tcW w:type="dxa" w:w="2484"/>
            <w:vAlign w:val="center"/>
          </w:tcPr>
          <w:p>
            <w:pPr>
              <w:spacing w:after="40"/>
            </w:pPr>
            <w:r/>
            <w:r>
              <w:rPr>
                <w:rFonts w:ascii="Inter" w:hAnsi="Inter"/>
                <w:b w:val="0"/>
                <w:color w:val="0F172A"/>
                <w:sz w:val="16"/>
              </w:rPr>
              <w:t>Choose Real Artifact. A dual-window capture visually demonstrates WebSocket connections and multi-room message isolation under active load.</w:t>
            </w:r>
          </w:p>
        </w:tc>
      </w:tr>
      <w:tr>
        <w:tc>
          <w:tcPr>
            <w:tcW w:type="dxa" w:w="2484"/>
            <w:vAlign w:val="center"/>
            <w:shd w:fill="F8FAFC"/>
          </w:tcPr>
          <w:p>
            <w:pPr>
              <w:spacing w:after="40"/>
            </w:pPr>
            <w:r/>
            <w:r>
              <w:rPr>
                <w:rFonts w:ascii="Inter" w:hAnsi="Inter"/>
                <w:b/>
                <w:color w:val="0F172A"/>
                <w:sz w:val="16"/>
              </w:rPr>
              <w:t>Tech Stack Badges</w:t>
            </w:r>
          </w:p>
        </w:tc>
        <w:tc>
          <w:tcPr>
            <w:tcW w:type="dxa" w:w="2484"/>
            <w:vAlign w:val="center"/>
          </w:tcPr>
          <w:p>
            <w:pPr>
              <w:spacing w:after="40"/>
            </w:pPr>
            <w:r/>
            <w:r>
              <w:rPr>
                <w:rFonts w:ascii="Inter" w:hAnsi="Inter"/>
                <w:b w:val="0"/>
                <w:color w:val="0F172A"/>
                <w:sz w:val="16"/>
              </w:rPr>
              <w:t>Random, multi-colored AI generated 3D tech icons with varying lighting styles.</w:t>
            </w:r>
          </w:p>
        </w:tc>
        <w:tc>
          <w:tcPr>
            <w:tcW w:type="dxa" w:w="2484"/>
            <w:vAlign w:val="center"/>
          </w:tcPr>
          <w:p>
            <w:pPr>
              <w:spacing w:after="40"/>
            </w:pPr>
            <w:r/>
            <w:r>
              <w:rPr>
                <w:rFonts w:ascii="Inter" w:hAnsi="Inter"/>
                <w:b w:val="0"/>
                <w:color w:val="0F172A"/>
                <w:sz w:val="16"/>
              </w:rPr>
              <w:t>Curated monochrome SVG tech badges matching the #1E293B palette.</w:t>
            </w:r>
          </w:p>
        </w:tc>
        <w:tc>
          <w:tcPr>
            <w:tcW w:type="dxa" w:w="2484"/>
            <w:vAlign w:val="center"/>
          </w:tcPr>
          <w:p>
            <w:pPr>
              <w:spacing w:after="40"/>
            </w:pPr>
            <w:r/>
            <w:r>
              <w:rPr>
                <w:rFonts w:ascii="Inter" w:hAnsi="Inter"/>
                <w:b w:val="0"/>
                <w:color w:val="0F172A"/>
                <w:sz w:val="16"/>
              </w:rPr>
              <w:t>Curated AI/SVG. Uniform, single-tone SVG icons maintain visual cohesion without cluttering the interface.</w:t>
            </w:r>
          </w:p>
        </w:tc>
      </w:tr>
    </w:tbl>
    <w:p>
      <w:pPr>
        <w:pStyle w:val="Heading1"/>
      </w:pPr>
      <w:r>
        <w:t>5. Standing Visual System Rules (For Portfolio Development Prompts)</w:t>
      </w:r>
    </w:p>
    <w:p>
      <w:r>
        <w:rPr>
          <w:rFonts w:ascii="Plus Jakarta Sans" w:hAnsi="Plus Jakarta Sans"/>
          <w:b/>
          <w:color w:val="2563EB"/>
          <w:sz w:val="22"/>
        </w:rPr>
        <w:t>Color Discipline</w:t>
      </w:r>
    </w:p>
    <w:p>
      <w:pPr>
        <w:pStyle w:val="ListBullet"/>
        <w:spacing w:after="80"/>
        <w:ind w:left="360"/>
      </w:pPr>
      <w:r>
        <w:t>Canvas Surface: #F8FAFC</w:t>
      </w:r>
    </w:p>
    <w:p>
      <w:pPr>
        <w:pStyle w:val="ListBullet"/>
        <w:spacing w:after="80"/>
        <w:ind w:left="360"/>
      </w:pPr>
      <w:r>
        <w:t>Main Text &amp; Headings: #0F172A</w:t>
      </w:r>
    </w:p>
    <w:p>
      <w:pPr>
        <w:pStyle w:val="ListBullet"/>
        <w:spacing w:after="80"/>
        <w:ind w:left="360"/>
      </w:pPr>
      <w:r>
        <w:t>Card Containers &amp; Borders: #1E293B / #E2E8F0</w:t>
      </w:r>
    </w:p>
    <w:p>
      <w:pPr>
        <w:pStyle w:val="ListBullet"/>
        <w:spacing w:after="80"/>
        <w:ind w:left="360"/>
      </w:pPr>
      <w:r>
        <w:t>Interactive Accent: #2563EB (Buttons, links, and active badges only)</w:t>
      </w:r>
    </w:p>
    <w:p>
      <w:r>
        <w:rPr>
          <w:rFonts w:ascii="Plus Jakarta Sans" w:hAnsi="Plus Jakarta Sans"/>
          <w:b/>
          <w:color w:val="2563EB"/>
          <w:sz w:val="22"/>
        </w:rPr>
        <w:t>Typography Hierarchy</w:t>
      </w:r>
    </w:p>
    <w:p>
      <w:pPr>
        <w:pStyle w:val="ListBullet"/>
        <w:spacing w:after="80"/>
        <w:ind w:left="360"/>
      </w:pPr>
      <w:r>
        <w:t>Section Titles &amp; Headings: Plus Jakarta Sans (600/700)</w:t>
      </w:r>
    </w:p>
    <w:p>
      <w:pPr>
        <w:pStyle w:val="ListBullet"/>
        <w:spacing w:after="80"/>
        <w:ind w:left="360"/>
      </w:pPr>
      <w:r>
        <w:t>Body Copy &amp; Descriptions: Inter (Regular 400, Line-height: 1.6)</w:t>
      </w:r>
    </w:p>
    <w:p>
      <w:pPr>
        <w:pStyle w:val="ListBullet"/>
        <w:spacing w:after="80"/>
        <w:ind w:left="360"/>
      </w:pPr>
      <w:r>
        <w:t>Code Blocks, Routes, Schemas: JetBrains Mono (500)</w:t>
      </w:r>
    </w:p>
    <w:p>
      <w:r>
        <w:rPr>
          <w:rFonts w:ascii="Plus Jakarta Sans" w:hAnsi="Plus Jakarta Sans"/>
          <w:b/>
          <w:color w:val="2563EB"/>
          <w:sz w:val="22"/>
        </w:rPr>
        <w:t>Asset Selection Standard</w:t>
      </w:r>
    </w:p>
    <w:p>
      <w:pPr>
        <w:pStyle w:val="ListBullet"/>
        <w:spacing w:after="80"/>
        <w:ind w:left="360"/>
      </w:pPr>
      <w:r>
        <w:t>Reject all decorative AI stock imagery and generic 3D illustrations.</w:t>
      </w:r>
    </w:p>
    <w:p>
      <w:pPr>
        <w:pStyle w:val="ListBullet"/>
        <w:spacing w:after="80"/>
        <w:ind w:left="360"/>
      </w:pPr>
      <w:r>
        <w:t>Every project card must feature authentic engineering artifacts: ERD schemas, Swagger UI screencaps, or live terminal/network recordings.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Inter" w:hAnsi="Inter"/>
        <w:color w:val="64748B"/>
        <w:sz w:val="16"/>
      </w:rPr>
      <w:t>Visual Identity &amp; AI Judgment Audit • Ziyad Alboghdady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nter" w:hAnsi="Inter"/>
      <w:color w:val="0F17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Plus Jakarta Sans" w:hAnsi="Plus Jakarta Sans"/>
      <w:b/>
      <w:bCs/>
      <w:color w:val="0F172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Plus Jakarta Sans" w:hAnsi="Plus Jakarta Sans"/>
      <w:b/>
      <w:bCs/>
      <w:color w:val="0F172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Plus Jakarta Sans" w:hAnsi="Plus Jakarta Sans"/>
      <w:b/>
      <w:bCs/>
      <w:color w:val="0F172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Plus Jakarta Sans" w:hAnsi="Plus Jakarta Sans"/>
      <w:b/>
      <w:color w:val="0F172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