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Plus Jakarta Sans" w:hAnsi="Plus Jakarta Sans"/>
          <w:b/>
          <w:color w:val="0F172A"/>
          <w:sz w:val="44"/>
        </w:rPr>
        <w:t>Portfolio Identity Kit</w:t>
      </w:r>
    </w:p>
    <w:p>
      <w:pPr>
        <w:spacing w:after="240"/>
        <w:pBdr>
          <w:bottom w:val="single" w:sz="16" w:space="8" w:color="0F172A"/>
        </w:pBdr>
      </w:pPr>
      <w:r>
        <w:rPr>
          <w:b/>
          <w:color w:val="64748B"/>
          <w:sz w:val="21"/>
        </w:rPr>
        <w:t>Visual Foundations &amp; System Constraints — Ziyad Alboghdady</w:t>
      </w:r>
    </w:p>
    <w:p>
      <w:pPr>
        <w:spacing w:before="280" w:after="140"/>
        <w:pBdr>
          <w:bottom w:val="single" w:sz="6" w:space="4" w:color="E2E8F0"/>
        </w:pBdr>
      </w:pPr>
      <w:r>
        <w:rPr>
          <w:rFonts w:ascii="Plus Jakarta Sans" w:hAnsi="Plus Jakarta Sans"/>
          <w:b/>
          <w:color w:val="1E293B"/>
          <w:sz w:val="24"/>
        </w:rPr>
        <w:t>1. TYPOGRAPHY SYSTEM</w:t>
      </w:r>
    </w:p>
    <w:p>
      <w:pPr>
        <w:pStyle w:val="ListBullet"/>
        <w:spacing w:after="80"/>
      </w:pPr>
      <w:r>
        <w:rPr>
          <w:b/>
        </w:rPr>
        <w:t xml:space="preserve">Heading Font: </w:t>
      </w:r>
      <w:r>
        <w:t>Plus Jakarta Sans (Semi-Bold / Bold, 600–700) — Geometric, clean, modern, and readable for technical section heads.</w:t>
      </w:r>
    </w:p>
    <w:p>
      <w:pPr>
        <w:pStyle w:val="ListBullet"/>
        <w:spacing w:after="80"/>
      </w:pPr>
      <w:r>
        <w:rPr>
          <w:b/>
        </w:rPr>
        <w:t xml:space="preserve">Body Font: </w:t>
      </w:r>
      <w:r>
        <w:t>Inter (Regular / Medium, 400–500) — High x-height engineered for UI scanning and reading density on digital screens.</w:t>
      </w:r>
    </w:p>
    <w:p>
      <w:pPr>
        <w:pStyle w:val="ListBullet"/>
        <w:spacing w:after="80"/>
      </w:pPr>
      <w:r>
        <w:rPr>
          <w:b/>
        </w:rPr>
        <w:t xml:space="preserve">Technical &amp; Code Font: </w:t>
      </w:r>
      <w:r>
        <w:t>JetBrains Mono (Medium, 500) — Monospace font used for code snippets, API routes, and parameter badges.</w:t>
      </w:r>
    </w:p>
    <w:p>
      <w:pPr>
        <w:spacing w:before="280" w:after="140"/>
        <w:pBdr>
          <w:bottom w:val="single" w:sz="6" w:space="4" w:color="E2E8F0"/>
        </w:pBdr>
      </w:pPr>
      <w:r>
        <w:rPr>
          <w:rFonts w:ascii="Plus Jakarta Sans" w:hAnsi="Plus Jakarta Sans"/>
          <w:b/>
          <w:color w:val="1E293B"/>
          <w:sz w:val="24"/>
        </w:rPr>
        <w:t>2. COLOR PALETTE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491"/>
        <w:gridCol w:w="2491"/>
        <w:gridCol w:w="2491"/>
        <w:gridCol w:w="2491"/>
      </w:tblGrid>
      <w:tr>
        <w:tc>
          <w:tcPr>
            <w:tcW w:type="dxa" w:w="2491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FFFFF"/>
            <w:vAlign w:val="top"/>
          </w:tcPr>
          <w:p>
            <w:pPr>
              <w:spacing w:after="0"/>
            </w:pPr>
            <w:r>
              <w:rPr>
                <w:color w:val="F8FAFC"/>
                <w:sz w:val="36"/>
                <w:shd w:fill="F8FAFC"/>
              </w:rPr>
              <w:t xml:space="preserve">      </w:t>
            </w:r>
          </w:p>
          <w:p>
            <w:pPr>
              <w:spacing w:before="80" w:after="20"/>
            </w:pPr>
            <w:r>
              <w:rPr>
                <w:b/>
                <w:color w:val="64748B"/>
                <w:sz w:val="17"/>
              </w:rPr>
              <w:t>CANVAS BACKGROUND</w:t>
            </w:r>
          </w:p>
          <w:p>
            <w:pPr>
              <w:spacing w:after="20"/>
            </w:pPr>
            <w:r>
              <w:rPr>
                <w:rFonts w:ascii="Consolas" w:hAnsi="Consolas"/>
                <w:b/>
                <w:color w:val="0F172A"/>
                <w:sz w:val="20"/>
              </w:rPr>
              <w:t>#F8FAFC</w:t>
            </w:r>
          </w:p>
          <w:p>
            <w:pPr>
              <w:spacing w:after="80"/>
            </w:pPr>
            <w:r>
              <w:rPr>
                <w:color w:val="475569"/>
                <w:sz w:val="16"/>
              </w:rPr>
              <w:t>Clean, low-glare surface</w:t>
            </w:r>
          </w:p>
        </w:tc>
        <w:tc>
          <w:tcPr>
            <w:tcW w:type="dxa" w:w="2491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FFFFF"/>
            <w:vAlign w:val="top"/>
          </w:tcPr>
          <w:p>
            <w:pPr>
              <w:spacing w:after="0"/>
            </w:pPr>
            <w:r>
              <w:rPr>
                <w:color w:val="0F172A"/>
                <w:sz w:val="36"/>
                <w:shd w:fill="0F172A"/>
              </w:rPr>
              <w:t xml:space="preserve">      </w:t>
            </w:r>
          </w:p>
          <w:p>
            <w:pPr>
              <w:spacing w:before="80" w:after="20"/>
            </w:pPr>
            <w:r>
              <w:rPr>
                <w:b/>
                <w:color w:val="64748B"/>
                <w:sz w:val="17"/>
              </w:rPr>
              <w:t>PRIMARY TEXT</w:t>
            </w:r>
          </w:p>
          <w:p>
            <w:pPr>
              <w:spacing w:after="20"/>
            </w:pPr>
            <w:r>
              <w:rPr>
                <w:rFonts w:ascii="Consolas" w:hAnsi="Consolas"/>
                <w:b/>
                <w:color w:val="0F172A"/>
                <w:sz w:val="20"/>
              </w:rPr>
              <w:t>#0F172A</w:t>
            </w:r>
          </w:p>
          <w:p>
            <w:pPr>
              <w:spacing w:after="80"/>
            </w:pPr>
            <w:r>
              <w:rPr>
                <w:color w:val="475569"/>
                <w:sz w:val="16"/>
              </w:rPr>
              <w:t>Near-black, high contrast</w:t>
            </w:r>
          </w:p>
        </w:tc>
        <w:tc>
          <w:tcPr>
            <w:tcW w:type="dxa" w:w="2491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FFFFF"/>
            <w:vAlign w:val="top"/>
          </w:tcPr>
          <w:p>
            <w:pPr>
              <w:spacing w:after="0"/>
            </w:pPr>
            <w:r>
              <w:rPr>
                <w:color w:val="1E293B"/>
                <w:sz w:val="36"/>
                <w:shd w:fill="1E293B"/>
              </w:rPr>
              <w:t xml:space="preserve">      </w:t>
            </w:r>
          </w:p>
          <w:p>
            <w:pPr>
              <w:spacing w:before="80" w:after="20"/>
            </w:pPr>
            <w:r>
              <w:rPr>
                <w:b/>
                <w:color w:val="64748B"/>
                <w:sz w:val="17"/>
              </w:rPr>
              <w:t>MAIN / STRUCTURE</w:t>
            </w:r>
          </w:p>
          <w:p>
            <w:pPr>
              <w:spacing w:after="20"/>
            </w:pPr>
            <w:r>
              <w:rPr>
                <w:rFonts w:ascii="Consolas" w:hAnsi="Consolas"/>
                <w:b/>
                <w:color w:val="0F172A"/>
                <w:sz w:val="20"/>
              </w:rPr>
              <w:t>#1E293B</w:t>
            </w:r>
          </w:p>
          <w:p>
            <w:pPr>
              <w:spacing w:after="80"/>
            </w:pPr>
            <w:r>
              <w:rPr>
                <w:color w:val="475569"/>
                <w:sz w:val="16"/>
              </w:rPr>
              <w:t>Cards, headers, borders</w:t>
            </w:r>
          </w:p>
        </w:tc>
        <w:tc>
          <w:tcPr>
            <w:tcW w:type="dxa" w:w="2491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FFFFF"/>
            <w:vAlign w:val="top"/>
          </w:tcPr>
          <w:p>
            <w:pPr>
              <w:spacing w:after="0"/>
            </w:pPr>
            <w:r>
              <w:rPr>
                <w:color w:val="2563EB"/>
                <w:sz w:val="36"/>
                <w:shd w:fill="2563EB"/>
              </w:rPr>
              <w:t xml:space="preserve">      </w:t>
            </w:r>
          </w:p>
          <w:p>
            <w:pPr>
              <w:spacing w:before="80" w:after="20"/>
            </w:pPr>
            <w:r>
              <w:rPr>
                <w:b/>
                <w:color w:val="64748B"/>
                <w:sz w:val="17"/>
              </w:rPr>
              <w:t>TECHNICAL ACCENT</w:t>
            </w:r>
          </w:p>
          <w:p>
            <w:pPr>
              <w:spacing w:after="20"/>
            </w:pPr>
            <w:r>
              <w:rPr>
                <w:rFonts w:ascii="Consolas" w:hAnsi="Consolas"/>
                <w:b/>
                <w:color w:val="0F172A"/>
                <w:sz w:val="20"/>
              </w:rPr>
              <w:t>#2563EB</w:t>
            </w:r>
          </w:p>
          <w:p>
            <w:pPr>
              <w:spacing w:after="80"/>
            </w:pPr>
            <w:r>
              <w:rPr>
                <w:color w:val="475569"/>
                <w:sz w:val="16"/>
              </w:rPr>
              <w:t>Actions, links, active tags</w:t>
            </w:r>
          </w:p>
        </w:tc>
      </w:tr>
    </w:tbl>
    <w:p>
      <w:pPr>
        <w:spacing w:before="280" w:after="140"/>
        <w:pBdr>
          <w:bottom w:val="single" w:sz="6" w:space="4" w:color="E2E8F0"/>
        </w:pBdr>
      </w:pPr>
      <w:r>
        <w:rPr>
          <w:rFonts w:ascii="Plus Jakarta Sans" w:hAnsi="Plus Jakarta Sans"/>
          <w:b/>
          <w:color w:val="1E293B"/>
          <w:sz w:val="24"/>
        </w:rPr>
        <w:t>3. LOGO &amp; FAVICON SPECIFICATION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8FAFC"/>
            <w:vAlign w:val="center"/>
            <w:shd w:fill="0F172A"/>
          </w:tcPr>
          <w:p>
            <w:pPr>
              <w:jc w:val="center"/>
            </w:pPr>
            <w:r>
              <w:rPr>
                <w:rFonts w:ascii="Consolas" w:hAnsi="Consolas"/>
                <w:b/>
                <w:color w:val="2563EB"/>
                <w:sz w:val="32"/>
              </w:rPr>
              <w:t>{ZB}</w:t>
            </w:r>
          </w:p>
        </w:tc>
        <w:tc>
          <w:tcPr>
            <w:tcW w:type="dxa" w:w="4982"/>
            <w:tcBorders>
              <w:top w:val="single" w:sz="6" w:color="E2E8F0"/>
              <w:left w:val="single" w:sz="6" w:color="E2E8F0"/>
              <w:bottom w:val="single" w:sz="6" w:color="E2E8F0"/>
              <w:right w:val="single" w:sz="6" w:color="E2E8F0"/>
            </w:tcBorders>
            <w:shd w:fill="F8FAFC"/>
            <w:vAlign w:val="center"/>
          </w:tcPr>
          <w:p>
            <w:r>
              <w:rPr>
                <w:rFonts w:ascii="Plus Jakarta Sans" w:hAnsi="Plus Jakarta Sans"/>
                <w:b/>
                <w:color w:val="0F172A"/>
                <w:sz w:val="28"/>
              </w:rPr>
              <w:t>ZIYAD ALBOGHDADY</w:t>
            </w:r>
          </w:p>
          <w:p>
            <w:r>
              <w:rPr>
                <w:b/>
                <w:color w:val="64748B"/>
                <w:sz w:val="18"/>
              </w:rPr>
              <w:t>.NET Backend Software Engineer</w:t>
            </w:r>
          </w:p>
        </w:tc>
      </w:tr>
    </w:tbl>
    <w:p/>
    <w:p>
      <w:pPr>
        <w:pStyle w:val="ListBullet"/>
        <w:spacing w:after="80"/>
      </w:pPr>
      <w:r>
        <w:rPr>
          <w:b/>
        </w:rPr>
        <w:t xml:space="preserve">Favicon: </w:t>
      </w:r>
      <w:r>
        <w:t>Dark slate rounded box (#0F172A) containing cobalt code brackets with initials {ZB} in JetBrains Mono.</w:t>
      </w:r>
    </w:p>
    <w:p>
      <w:pPr>
        <w:pStyle w:val="ListBullet"/>
        <w:spacing w:after="80"/>
      </w:pPr>
      <w:r>
        <w:rPr>
          <w:b/>
        </w:rPr>
        <w:t xml:space="preserve">Logotype: </w:t>
      </w:r>
      <w:r>
        <w:t>Clean uppercase heading typography with subtle tracking, paired with a sub-label defining the engineering discipline.</w:t>
      </w:r>
    </w:p>
    <w:p>
      <w:pPr>
        <w:spacing w:before="280" w:after="140"/>
        <w:pBdr>
          <w:bottom w:val="single" w:sz="6" w:space="4" w:color="E2E8F0"/>
        </w:pBdr>
      </w:pPr>
      <w:r>
        <w:rPr>
          <w:rFonts w:ascii="Plus Jakarta Sans" w:hAnsi="Plus Jakarta Sans"/>
          <w:b/>
          <w:color w:val="1E293B"/>
          <w:sz w:val="24"/>
        </w:rPr>
        <w:t>4. STANDING STYLE NOTE (CLAUDE PROJECT INSTRUCTIONS)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64"/>
      </w:tblGrid>
      <w:tr>
        <w:tc>
          <w:tcPr>
            <w:tcW w:type="dxa" w:w="9964"/>
            <w:tcBorders>
              <w:top w:val="single" w:sz="6" w:color="F8FAFC"/>
              <w:left w:val="single" w:sz="6" w:color="F8FAFC"/>
              <w:bottom w:val="single" w:sz="6" w:color="F8FAFC"/>
              <w:right w:val="single" w:sz="6" w:color="F8FAFC"/>
            </w:tcBorders>
            <w:shd w:fill="F8FAFC"/>
          </w:tcPr>
          <w:p>
            <w:r>
              <w:rPr>
                <w:rFonts w:ascii="Consolas" w:hAnsi="Consolas"/>
                <w:b/>
                <w:sz w:val="19"/>
              </w:rPr>
              <w:t xml:space="preserve">Visual System: </w:t>
            </w:r>
            <w:r>
              <w:t>Headings in Plus Jakarta Sans, Body in Inter (#0F172A on #F8FAFC), Accent in Cobalt (#2563EB).</w:t>
            </w:r>
          </w:p>
          <w:p>
            <w:r>
              <w:rPr>
                <w:rFonts w:ascii="Consolas" w:hAnsi="Consolas"/>
                <w:b/>
                <w:sz w:val="19"/>
              </w:rPr>
              <w:t xml:space="preserve">Mood: </w:t>
            </w:r>
            <w:r>
              <w:t>Crisp, minimal engineering aesthetic—restrained contrast and zero decorative noise so technical depth and architecture remain the focus.</w:t>
            </w:r>
          </w:p>
        </w:tc>
      </w:tr>
    </w:tbl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0F17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