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6B93"/>
          <w:sz w:val="44"/>
          <w:szCs w:val="44"/>
        </w:rPr>
        <w:t xml:space="preserve">Market Selection: Why Cryptocurrency</w:t>
      </w:r>
    </w:p>
    <w:p>
      <w:pPr>
        <w:pBdr>
          <w:bottom w:val="single" w:color="1B6B93" w:sz="8" w:space="8"/>
        </w:pBdr>
        <w:spacing w:after="400"/>
      </w:pPr>
      <w:r>
        <w:rPr>
          <w:rFonts w:ascii="Arial" w:cs="Arial" w:eastAsia="Arial" w:hAnsi="Arial"/>
          <w:color w:val="666666"/>
          <w:sz w:val="22"/>
          <w:szCs w:val="22"/>
        </w:rPr>
        <w:t xml:space="preserve">Decision document  |  March 2026  |  Agentic Trading Project</w:t>
      </w:r>
    </w:p>
    <w:p>
      <w:pPr>
        <w:pStyle w:val="Heading1"/>
      </w:pPr>
      <w:r>
        <w:t xml:space="preserve">Executive Summary</w:t>
      </w:r>
    </w:p>
    <w:p>
      <w:pPr>
        <w:spacing w:after="200"/>
      </w:pPr>
      <w:r>
        <w:t xml:space="preserve">After evaluating cryptocurrency, forex, stocks, and futures against criteria critical to building an AI-powered multi-agent trading system, we selected </w:t>
      </w:r>
      <w:r>
        <w:rPr>
          <w:b/>
          <w:bCs/>
        </w:rPr>
        <w:t xml:space="preserve">cryptocurrency</w:t>
      </w:r>
      <w:r>
        <w:t xml:space="preserve"> as our initial market. This decision is driven by practical development advantages rather than any claim that crypto is inherently easier to profit from.</w:t>
      </w:r>
    </w:p>
    <w:p>
      <w:pPr>
        <w:pStyle w:val="Heading1"/>
      </w:pPr>
      <w:r>
        <w:t xml:space="preserve">Market Comparison</w:t>
      </w:r>
    </w:p>
    <w:p>
      <w:pPr>
        <w:spacing w:after="200"/>
      </w:pPr>
      <w:r>
        <w:t xml:space="preserve">The following table compares the four major market categories across factors that matter most for an agentic trading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1872"/>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Crypto</w:t>
            </w:r>
          </w:p>
        </w:tc>
        <w:tc>
          <w:tcPr>
            <w:tcW w:type="dxa" w:w="1872"/>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Forex</w:t>
            </w:r>
          </w:p>
        </w:tc>
        <w:tc>
          <w:tcPr>
            <w:tcW w:type="dxa" w:w="1872"/>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Stocks</w:t>
            </w:r>
          </w:p>
        </w:tc>
        <w:tc>
          <w:tcPr>
            <w:tcW w:type="dxa" w:w="1872"/>
            <w:tcBorders>
              <w:top w:val="single" w:color="CCCCCC" w:sz="1"/>
              <w:left w:val="single" w:color="CCCCCC" w:sz="1"/>
              <w:bottom w:val="single" w:color="CCCCCC" w:sz="1"/>
              <w:right w:val="single" w:color="CCCCCC" w:sz="1"/>
            </w:tcBorders>
            <w:shd w:fill="1B6B93" w:val="clear"/>
            <w:tcMar>
              <w:top w:type="dxa" w:w="80"/>
              <w:left w:type="dxa" w:w="120"/>
              <w:bottom w:type="dxa" w:w="80"/>
              <w:right w:type="dxa" w:w="120"/>
            </w:tcMar>
            <w:vAlign w:val="center"/>
          </w:tcPr>
          <w:p>
            <w:r>
              <w:rPr>
                <w:rFonts w:ascii="Arial" w:cs="Arial" w:eastAsia="Arial" w:hAnsi="Arial"/>
                <w:b/>
                <w:bCs/>
                <w:color w:val="FFFFFF"/>
                <w:sz w:val="20"/>
                <w:szCs w:val="20"/>
              </w:rPr>
              <w:t xml:space="preserve">Futures</w:t>
            </w:r>
          </w:p>
        </w:tc>
      </w:tr>
      <w:tr>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Trading Hours</w:t>
            </w:r>
          </w:p>
        </w:tc>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24/7</w:t>
            </w:r>
          </w:p>
        </w:tc>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24/5</w:t>
            </w:r>
          </w:p>
        </w:tc>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Extended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 Access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Excellent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Good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Very Good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Good</w:t>
            </w:r>
          </w:p>
        </w:tc>
      </w:tr>
      <w:tr>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Free Data</w:t>
            </w:r>
          </w:p>
        </w:tc>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Abundant</w:t>
            </w:r>
          </w:p>
        </w:tc>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Mixed</w:t>
            </w:r>
          </w:p>
        </w:tc>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Mostly Paid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Volatility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Med-High</w:t>
            </w:r>
          </w:p>
        </w:tc>
      </w:tr>
      <w:tr>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Reg. Friction</w:t>
            </w:r>
          </w:p>
        </w:tc>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872"/>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Agent Suitability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Excellent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Good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Excellent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Excellent</w:t>
            </w:r>
          </w:p>
        </w:tc>
      </w:tr>
    </w:tbl>
    <w:p>
      <w:pPr>
        <w:pStyle w:val="Heading1"/>
      </w:pPr>
      <w:r>
        <w:t xml:space="preserve">Key Reasons for Choosing Crypto</w:t>
      </w:r>
    </w:p>
    <w:p>
      <w:pPr>
        <w:pStyle w:val="Heading2"/>
      </w:pPr>
      <w:r>
        <w:t xml:space="preserve">1. Continuous Markets Accelerate Development</w:t>
      </w:r>
    </w:p>
    <w:p>
      <w:pPr>
        <w:spacing w:after="200"/>
      </w:pPr>
      <w:r>
        <w:t xml:space="preserve">Crypto trades 24/7/365. This means our agents can operate continuously without sitting idle during market closures. We can deploy on a Saturday afternoon and immediately observe live behaviour. This dramatically accelerates the development feedback loop compared to stocks (limited hours) or forex (closed weekends).</w:t>
      </w:r>
    </w:p>
    <w:p>
      <w:pPr>
        <w:pStyle w:val="Heading2"/>
      </w:pPr>
      <w:r>
        <w:t xml:space="preserve">2. Unmatched API Ecosystem</w:t>
      </w:r>
    </w:p>
    <w:p>
      <w:pPr>
        <w:spacing w:after="200"/>
      </w:pPr>
      <w:r>
        <w:t xml:space="preserve">The CCXT library provides a single, unified Python interface to over 120 cryptocurrency exchanges. This is far more developer-friendly than broker-specific APIs for stocks or forex. A working data pipeline can be built in hours rather than days, with the flexibility to switch exchanges without rewriting code.</w:t>
      </w:r>
    </w:p>
    <w:p>
      <w:pPr>
        <w:pStyle w:val="Heading2"/>
      </w:pPr>
      <w:r>
        <w:t xml:space="preserve">3. Free, Abundant Data</w:t>
      </w:r>
    </w:p>
    <w:p>
      <w:pPr>
        <w:spacing w:after="200"/>
      </w:pPr>
      <w:r>
        <w:t xml:space="preserve">Most crypto exchanges provide free historical OHLCV data, order book snapshots, and real-time websocket feeds. Equivalent stock market data typically costs $99–999/month from providers like Polygon.io. During the experimentation phase, eliminating data costs removes a significant barrier to rapid iteration.</w:t>
      </w:r>
    </w:p>
    <w:p>
      <w:pPr>
        <w:pStyle w:val="Heading2"/>
      </w:pPr>
      <w:r>
        <w:t xml:space="preserve">4. Realistic Testnet Environments</w:t>
      </w:r>
    </w:p>
    <w:p>
      <w:pPr>
        <w:spacing w:after="200"/>
      </w:pPr>
      <w:r>
        <w:t xml:space="preserve">Binance, Bybit, and other major exchanges offer full testnet/sandbox environments where real orders can be executed against simulated balances. This makes paper trading more realistic than stock paper trading, which often fails to simulate slippage or partial fills accurately.</w:t>
      </w:r>
    </w:p>
    <w:p>
      <w:pPr>
        <w:pStyle w:val="Heading2"/>
      </w:pPr>
      <w:r>
        <w:t xml:space="preserve">5. Lower Barriers to Entry</w:t>
      </w:r>
    </w:p>
    <w:p>
      <w:pPr>
        <w:spacing w:after="200"/>
      </w:pPr>
      <w:r>
        <w:t xml:space="preserve">There are no pattern day trading rules, no $25,000 minimum account requirements, and no broker approval processes. Live trading can begin with as little as $50, making it possible to validate the system with real capital at minimal risk before scaling.</w:t>
      </w:r>
    </w:p>
    <w:p>
      <w:pPr>
        <w:pStyle w:val="Heading1"/>
      </w:pPr>
      <w:r>
        <w:t xml:space="preserve">Acknowledged Risks</w:t>
      </w:r>
    </w:p>
    <w:p>
      <w:pPr>
        <w:spacing w:after="120"/>
      </w:pPr>
      <w:r>
        <w:t xml:space="preserve">We are choosing crypto despite—not in ignorance of—its downsides:</w:t>
      </w:r>
    </w:p>
    <w:p>
      <w:pPr>
        <w:spacing w:after="80"/>
      </w:pPr>
      <w:r>
        <w:rPr>
          <w:b/>
          <w:bCs/>
        </w:rPr>
        <w:t xml:space="preserve">Higher volatility </w:t>
      </w:r>
      <w:r>
        <w:t xml:space="preserve">means more opportunities but also faster losses. Circuit breakers and strict position sizing are non-negotiable from day one.</w:t>
      </w:r>
    </w:p>
    <w:p>
      <w:pPr>
        <w:spacing w:after="80"/>
      </w:pPr>
      <w:r>
        <w:rPr>
          <w:b/>
          <w:bCs/>
        </w:rPr>
        <w:t xml:space="preserve">Market manipulation </w:t>
      </w:r>
      <w:r>
        <w:t xml:space="preserve">(wash trading, pump-and-dumps on small-cap coins) can poison data. We mitigate this by trading only high-liquidity pairs on established exchanges.</w:t>
      </w:r>
    </w:p>
    <w:p>
      <w:pPr>
        <w:spacing w:after="80"/>
      </w:pPr>
      <w:r>
        <w:rPr>
          <w:b/>
          <w:bCs/>
        </w:rPr>
        <w:t xml:space="preserve">Noisy sentiment data </w:t>
      </w:r>
      <w:r>
        <w:t xml:space="preserve">from crypto social media requires more aggressive filtering than equity analyst coverage. Our sentiment agent must be calibrated carefully.</w:t>
      </w:r>
    </w:p>
    <w:p>
      <w:pPr>
        <w:spacing w:after="200"/>
      </w:pPr>
      <w:r>
        <w:rPr>
          <w:b/>
          <w:bCs/>
        </w:rPr>
        <w:t xml:space="preserve">Regulatory uncertainty </w:t>
      </w:r>
      <w:r>
        <w:t xml:space="preserve">remains a factor, though it is lower than the active regulatory burden of equity day trading.</w:t>
      </w:r>
    </w:p>
    <w:p>
      <w:pPr>
        <w:pStyle w:val="Heading1"/>
      </w:pPr>
      <w:r>
        <w:t xml:space="preserve">Expansion Path</w:t>
      </w:r>
    </w:p>
    <w:p>
      <w:pPr>
        <w:spacing w:after="200"/>
      </w:pPr>
      <w:r>
        <w:t xml:space="preserve">Once the system is proven profitable on crypto (target: 6–12 months), we plan to expand into US equities via Alpaca’s commission-free API. The core architecture—agents, orchestration, risk management—transfers directly. Only the data fetcher and broker client need replacing. Stocks offer better infrastructure for deploying serious capital and clearer investor protections.</w:t>
      </w:r>
    </w:p>
    <w:p>
      <w:pPr>
        <w:pStyle w:val="Heading1"/>
      </w:pPr>
      <w:r>
        <w:t xml:space="preserve">Conclusion</w:t>
      </w:r>
    </w:p>
    <w:p>
      <w:pPr>
        <w:spacing w:after="200"/>
      </w:pPr>
      <w:r>
        <w:t xml:space="preserve">Cryptocurrency is not selected because it is easier to profit from. It is selected because it lets us </w:t>
      </w:r>
      <w:r>
        <w:rPr>
          <w:b/>
          <w:bCs/>
        </w:rPr>
        <w:t xml:space="preserve">build, test, and iterate on our agentic system faster</w:t>
      </w:r>
      <w:r>
        <w:t xml:space="preserve"> with lower costs and fewer barriers. The goal is to prove the architecture works, then deploy it wherever the best opportunities are.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93" w:sz="6" w:space="4"/>
      </w:pBdr>
    </w:pPr>
    <w:r>
      <w:rPr>
        <w:rFonts w:ascii="Arial" w:cs="Arial" w:eastAsia="Arial" w:hAnsi="Arial"/>
        <w:i/>
        <w:iCs/>
        <w:color w:val="666666"/>
        <w:sz w:val="18"/>
        <w:szCs w:val="18"/>
      </w:rPr>
      <w:t xml:space="preserve">Agentic Trading System  |  Market Selection Decision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6B93"/>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6B9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2026-03-30T05:56:25.331Z</dcterms:created>
  <dcterms:modified xsi:type="dcterms:W3CDTF">2026-03-30T05:56:25.331Z</dcterms:modified>
</cp:coreProperties>
</file>

<file path=docProps/custom.xml><?xml version="1.0" encoding="utf-8"?>
<Properties xmlns="http://schemas.openxmlformats.org/officeDocument/2006/custom-properties" xmlns:vt="http://schemas.openxmlformats.org/officeDocument/2006/docPropsVTypes"/>
</file>