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p>
    <w:p>
      <w:pPr>
        <w:spacing w:after="60" w:before="0"/>
        <w:jc w:val="center"/>
      </w:pPr>
      <w:r>
        <w:rPr>
          <w:rFonts w:ascii="Arial" w:cs="Arial" w:eastAsia="Arial" w:hAnsi="Arial"/>
          <w:b/>
          <w:bCs/>
          <w:color w:val="1F3864"/>
          <w:sz w:val="52"/>
          <w:szCs w:val="52"/>
        </w:rPr>
        <w:t xml:space="preserve">KONTRUCKTORS SA</w:t>
      </w:r>
    </w:p>
    <w:p>
      <w:pPr>
        <w:spacing w:after="40" w:before="0"/>
        <w:jc w:val="center"/>
      </w:pPr>
      <w:r>
        <w:rPr>
          <w:rFonts w:ascii="Arial" w:cs="Arial" w:eastAsia="Arial" w:hAnsi="Arial"/>
          <w:color w:val="4A4A4A"/>
          <w:sz w:val="22"/>
          <w:szCs w:val="22"/>
        </w:rPr>
        <w:t xml:space="preserve">Leasing and Sales of Trucks and Construction Equipment</w:t>
      </w:r>
    </w:p>
    <w:p>
      <w:pPr>
        <w:spacing w:after="40" w:before="0"/>
        <w:jc w:val="center"/>
      </w:pPr>
      <w:r>
        <w:rPr>
          <w:rFonts w:ascii="Arial" w:cs="Arial" w:eastAsia="Arial" w:hAnsi="Arial"/>
          <w:color w:val="888888"/>
          <w:sz w:val="20"/>
          <w:szCs w:val="20"/>
        </w:rPr>
        <w:t xml:space="preserve">Geneva  |  Lausanne  |  Zurich  |  Lugano</w:t>
      </w:r>
    </w:p>
    <w:p>
      <w:pPr>
        <w:spacing w:after="80" w:before="80"/>
      </w:pPr>
    </w:p>
    <w:p>
      <w:pPr>
        <w:pBdr>
          <w:bottom w:val="single" w:color="2E75B6" w:sz="6"/>
        </w:pBdr>
        <w:spacing w:after="80" w:before="0"/>
      </w:pPr>
    </w:p>
    <w:p>
      <w:pPr>
        <w:spacing w:after="80" w:before="80"/>
      </w:pPr>
    </w:p>
    <w:p>
      <w:pPr>
        <w:spacing w:after="30" w:before="0"/>
        <w:jc w:val="center"/>
      </w:pPr>
      <w:r>
        <w:rPr>
          <w:rFonts w:ascii="Arial" w:cs="Arial" w:eastAsia="Arial" w:hAnsi="Arial"/>
          <w:b/>
          <w:bCs/>
          <w:color w:val="1F3864"/>
          <w:sz w:val="32"/>
          <w:szCs w:val="32"/>
        </w:rPr>
        <w:t xml:space="preserve">INFORMATION SECURITY</w:t>
      </w:r>
    </w:p>
    <w:p>
      <w:pPr>
        <w:spacing w:after="30" w:before="0"/>
        <w:jc w:val="center"/>
      </w:pPr>
      <w:r>
        <w:rPr>
          <w:rFonts w:ascii="Arial" w:cs="Arial" w:eastAsia="Arial" w:hAnsi="Arial"/>
          <w:b/>
          <w:bCs/>
          <w:color w:val="2E75B6"/>
          <w:sz w:val="32"/>
          <w:szCs w:val="32"/>
        </w:rPr>
        <w:t xml:space="preserve">ACCEPTABLE USE POLICY</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4"/>
              <w:left w:val="single" w:color="CCCCCC" w:sz="4"/>
              <w:bottom w:val="single" w:color="CCCCCC" w:sz="4"/>
              <w:right w:val="single" w:color="CCCCCC" w:sz="4"/>
            </w:tcBorders>
            <w:shd w:color="FFFFFF" w:val="clear"/>
            <w:tcMar>
              <w:top w:type="dxa" w:w="80"/>
              <w:left w:type="dxa" w:w="120"/>
              <w:bottom w:type="dxa" w:w="80"/>
              <w:right w:type="dxa" w:w="120"/>
            </w:tcMar>
          </w:tcPr>
          <w:p>
            <w:r>
              <w:rPr>
                <w:rFonts w:ascii="Arial" w:cs="Arial" w:eastAsia="Arial" w:hAnsi="Arial"/>
                <w:b/>
                <w:bCs/>
                <w:sz w:val="19"/>
                <w:szCs w:val="19"/>
              </w:rPr>
              <w:t xml:space="preserve">Document Reference</w:t>
            </w:r>
          </w:p>
        </w:tc>
        <w:tc>
          <w:tcPr>
            <w:tcW w:type="dxa" w:w="6026"/>
            <w:tcBorders>
              <w:top w:val="single" w:color="CCCCCC" w:sz="4"/>
              <w:left w:val="single" w:color="CCCCCC" w:sz="4"/>
              <w:bottom w:val="single" w:color="CCCCCC" w:sz="4"/>
              <w:right w:val="single" w:color="CCCCCC" w:sz="4"/>
            </w:tcBorders>
            <w:shd w:color="FFFFFF" w:val="clear"/>
            <w:tcMar>
              <w:top w:type="dxa" w:w="80"/>
              <w:left w:type="dxa" w:w="120"/>
              <w:bottom w:type="dxa" w:w="80"/>
              <w:right w:type="dxa" w:w="120"/>
            </w:tcMar>
          </w:tcPr>
          <w:p>
            <w:r>
              <w:rPr>
                <w:rFonts w:ascii="Arial" w:cs="Arial" w:eastAsia="Arial" w:hAnsi="Arial"/>
                <w:sz w:val="19"/>
                <w:szCs w:val="19"/>
              </w:rPr>
              <w:t xml:space="preserve">KSA-ISP-AUP-001</w:t>
            </w:r>
          </w:p>
        </w:tc>
      </w:tr>
      <w:tr>
        <w:tc>
          <w:tcPr>
            <w:tcW w:type="dxa" w:w="3000"/>
            <w:tcBorders>
              <w:top w:val="single" w:color="CCCCCC" w:sz="4"/>
              <w:left w:val="single" w:color="CCCCCC" w:sz="4"/>
              <w:bottom w:val="single" w:color="CCCCCC" w:sz="4"/>
              <w:right w:val="single" w:color="CCCCCC" w:sz="4"/>
            </w:tcBorders>
            <w:shd w:color="EBF3FB" w:val="clear"/>
            <w:tcMar>
              <w:top w:type="dxa" w:w="80"/>
              <w:left w:type="dxa" w:w="120"/>
              <w:bottom w:type="dxa" w:w="80"/>
              <w:right w:type="dxa" w:w="120"/>
            </w:tcMar>
          </w:tcPr>
          <w:p>
            <w:r>
              <w:rPr>
                <w:rFonts w:ascii="Arial" w:cs="Arial" w:eastAsia="Arial" w:hAnsi="Arial"/>
                <w:b/>
                <w:bCs/>
                <w:sz w:val="19"/>
                <w:szCs w:val="19"/>
              </w:rPr>
              <w:t xml:space="preserve">Version</w:t>
            </w:r>
          </w:p>
        </w:tc>
        <w:tc>
          <w:tcPr>
            <w:tcW w:type="dxa" w:w="6026"/>
            <w:tcBorders>
              <w:top w:val="single" w:color="CCCCCC" w:sz="4"/>
              <w:left w:val="single" w:color="CCCCCC" w:sz="4"/>
              <w:bottom w:val="single" w:color="CCCCCC" w:sz="4"/>
              <w:right w:val="single" w:color="CCCCCC" w:sz="4"/>
            </w:tcBorders>
            <w:shd w:color="EBF3FB" w:val="clear"/>
            <w:tcMar>
              <w:top w:type="dxa" w:w="80"/>
              <w:left w:type="dxa" w:w="120"/>
              <w:bottom w:type="dxa" w:w="80"/>
              <w:right w:type="dxa" w:w="120"/>
            </w:tcMar>
          </w:tcPr>
          <w:p>
            <w:r>
              <w:rPr>
                <w:rFonts w:ascii="Arial" w:cs="Arial" w:eastAsia="Arial" w:hAnsi="Arial"/>
                <w:sz w:val="19"/>
                <w:szCs w:val="19"/>
              </w:rPr>
              <w:t xml:space="preserve">1.0</w:t>
            </w:r>
          </w:p>
        </w:tc>
      </w:tr>
      <w:tr>
        <w:tc>
          <w:tcPr>
            <w:tcW w:type="dxa" w:w="3000"/>
            <w:tcBorders>
              <w:top w:val="single" w:color="CCCCCC" w:sz="4"/>
              <w:left w:val="single" w:color="CCCCCC" w:sz="4"/>
              <w:bottom w:val="single" w:color="CCCCCC" w:sz="4"/>
              <w:right w:val="single" w:color="CCCCCC" w:sz="4"/>
            </w:tcBorders>
            <w:shd w:color="FFFFFF" w:val="clear"/>
            <w:tcMar>
              <w:top w:type="dxa" w:w="80"/>
              <w:left w:type="dxa" w:w="120"/>
              <w:bottom w:type="dxa" w:w="80"/>
              <w:right w:type="dxa" w:w="120"/>
            </w:tcMar>
          </w:tcPr>
          <w:p>
            <w:r>
              <w:rPr>
                <w:rFonts w:ascii="Arial" w:cs="Arial" w:eastAsia="Arial" w:hAnsi="Arial"/>
                <w:b/>
                <w:bCs/>
                <w:sz w:val="19"/>
                <w:szCs w:val="19"/>
              </w:rPr>
              <w:t xml:space="preserve">Classification</w:t>
            </w:r>
          </w:p>
        </w:tc>
        <w:tc>
          <w:tcPr>
            <w:tcW w:type="dxa" w:w="6026"/>
            <w:tcBorders>
              <w:top w:val="single" w:color="CCCCCC" w:sz="4"/>
              <w:left w:val="single" w:color="CCCCCC" w:sz="4"/>
              <w:bottom w:val="single" w:color="CCCCCC" w:sz="4"/>
              <w:right w:val="single" w:color="CCCCCC" w:sz="4"/>
            </w:tcBorders>
            <w:shd w:color="FFFFFF" w:val="clear"/>
            <w:tcMar>
              <w:top w:type="dxa" w:w="80"/>
              <w:left w:type="dxa" w:w="120"/>
              <w:bottom w:type="dxa" w:w="80"/>
              <w:right w:type="dxa" w:w="120"/>
            </w:tcMar>
          </w:tcPr>
          <w:p>
            <w:r>
              <w:rPr>
                <w:rFonts w:ascii="Arial" w:cs="Arial" w:eastAsia="Arial" w:hAnsi="Arial"/>
                <w:sz w:val="19"/>
                <w:szCs w:val="19"/>
              </w:rPr>
              <w:t xml:space="preserve">Internal</w:t>
            </w:r>
          </w:p>
        </w:tc>
      </w:tr>
      <w:tr>
        <w:tc>
          <w:tcPr>
            <w:tcW w:type="dxa" w:w="3000"/>
            <w:tcBorders>
              <w:top w:val="single" w:color="CCCCCC" w:sz="4"/>
              <w:left w:val="single" w:color="CCCCCC" w:sz="4"/>
              <w:bottom w:val="single" w:color="CCCCCC" w:sz="4"/>
              <w:right w:val="single" w:color="CCCCCC" w:sz="4"/>
            </w:tcBorders>
            <w:shd w:color="EBF3FB" w:val="clear"/>
            <w:tcMar>
              <w:top w:type="dxa" w:w="80"/>
              <w:left w:type="dxa" w:w="120"/>
              <w:bottom w:type="dxa" w:w="80"/>
              <w:right w:type="dxa" w:w="120"/>
            </w:tcMar>
          </w:tcPr>
          <w:p>
            <w:r>
              <w:rPr>
                <w:rFonts w:ascii="Arial" w:cs="Arial" w:eastAsia="Arial" w:hAnsi="Arial"/>
                <w:b/>
                <w:bCs/>
                <w:sz w:val="19"/>
                <w:szCs w:val="19"/>
              </w:rPr>
              <w:t xml:space="preserve">Effective Date</w:t>
            </w:r>
          </w:p>
        </w:tc>
        <w:tc>
          <w:tcPr>
            <w:tcW w:type="dxa" w:w="6026"/>
            <w:tcBorders>
              <w:top w:val="single" w:color="CCCCCC" w:sz="4"/>
              <w:left w:val="single" w:color="CCCCCC" w:sz="4"/>
              <w:bottom w:val="single" w:color="CCCCCC" w:sz="4"/>
              <w:right w:val="single" w:color="CCCCCC" w:sz="4"/>
            </w:tcBorders>
            <w:shd w:color="EBF3FB" w:val="clear"/>
            <w:tcMar>
              <w:top w:type="dxa" w:w="80"/>
              <w:left w:type="dxa" w:w="120"/>
              <w:bottom w:type="dxa" w:w="80"/>
              <w:right w:type="dxa" w:w="120"/>
            </w:tcMar>
          </w:tcPr>
          <w:p>
            <w:r>
              <w:rPr>
                <w:rFonts w:ascii="Arial" w:cs="Arial" w:eastAsia="Arial" w:hAnsi="Arial"/>
                <w:sz w:val="19"/>
                <w:szCs w:val="19"/>
              </w:rPr>
              <w:t xml:space="preserve">01 September 2026</w:t>
            </w:r>
          </w:p>
        </w:tc>
      </w:tr>
      <w:tr>
        <w:tc>
          <w:tcPr>
            <w:tcW w:type="dxa" w:w="3000"/>
            <w:tcBorders>
              <w:top w:val="single" w:color="CCCCCC" w:sz="4"/>
              <w:left w:val="single" w:color="CCCCCC" w:sz="4"/>
              <w:bottom w:val="single" w:color="CCCCCC" w:sz="4"/>
              <w:right w:val="single" w:color="CCCCCC" w:sz="4"/>
            </w:tcBorders>
            <w:shd w:color="FFFFFF" w:val="clear"/>
            <w:tcMar>
              <w:top w:type="dxa" w:w="80"/>
              <w:left w:type="dxa" w:w="120"/>
              <w:bottom w:type="dxa" w:w="80"/>
              <w:right w:type="dxa" w:w="120"/>
            </w:tcMar>
          </w:tcPr>
          <w:p>
            <w:r>
              <w:rPr>
                <w:rFonts w:ascii="Arial" w:cs="Arial" w:eastAsia="Arial" w:hAnsi="Arial"/>
                <w:b/>
                <w:bCs/>
                <w:sz w:val="19"/>
                <w:szCs w:val="19"/>
              </w:rPr>
              <w:t xml:space="preserve">Review Date</w:t>
            </w:r>
          </w:p>
        </w:tc>
        <w:tc>
          <w:tcPr>
            <w:tcW w:type="dxa" w:w="6026"/>
            <w:tcBorders>
              <w:top w:val="single" w:color="CCCCCC" w:sz="4"/>
              <w:left w:val="single" w:color="CCCCCC" w:sz="4"/>
              <w:bottom w:val="single" w:color="CCCCCC" w:sz="4"/>
              <w:right w:val="single" w:color="CCCCCC" w:sz="4"/>
            </w:tcBorders>
            <w:shd w:color="FFFFFF" w:val="clear"/>
            <w:tcMar>
              <w:top w:type="dxa" w:w="80"/>
              <w:left w:type="dxa" w:w="120"/>
              <w:bottom w:type="dxa" w:w="80"/>
              <w:right w:type="dxa" w:w="120"/>
            </w:tcMar>
          </w:tcPr>
          <w:p>
            <w:r>
              <w:rPr>
                <w:rFonts w:ascii="Arial" w:cs="Arial" w:eastAsia="Arial" w:hAnsi="Arial"/>
                <w:sz w:val="19"/>
                <w:szCs w:val="19"/>
              </w:rPr>
              <w:t xml:space="preserve">01 September 2027</w:t>
            </w:r>
          </w:p>
        </w:tc>
      </w:tr>
      <w:tr>
        <w:tc>
          <w:tcPr>
            <w:tcW w:type="dxa" w:w="3000"/>
            <w:tcBorders>
              <w:top w:val="single" w:color="CCCCCC" w:sz="4"/>
              <w:left w:val="single" w:color="CCCCCC" w:sz="4"/>
              <w:bottom w:val="single" w:color="CCCCCC" w:sz="4"/>
              <w:right w:val="single" w:color="CCCCCC" w:sz="4"/>
            </w:tcBorders>
            <w:shd w:color="EBF3FB" w:val="clear"/>
            <w:tcMar>
              <w:top w:type="dxa" w:w="80"/>
              <w:left w:type="dxa" w:w="120"/>
              <w:bottom w:type="dxa" w:w="80"/>
              <w:right w:type="dxa" w:w="120"/>
            </w:tcMar>
          </w:tcPr>
          <w:p>
            <w:r>
              <w:rPr>
                <w:rFonts w:ascii="Arial" w:cs="Arial" w:eastAsia="Arial" w:hAnsi="Arial"/>
                <w:b/>
                <w:bCs/>
                <w:sz w:val="19"/>
                <w:szCs w:val="19"/>
              </w:rPr>
              <w:t xml:space="preserve">Document Owner</w:t>
            </w:r>
          </w:p>
        </w:tc>
        <w:tc>
          <w:tcPr>
            <w:tcW w:type="dxa" w:w="6026"/>
            <w:tcBorders>
              <w:top w:val="single" w:color="CCCCCC" w:sz="4"/>
              <w:left w:val="single" w:color="CCCCCC" w:sz="4"/>
              <w:bottom w:val="single" w:color="CCCCCC" w:sz="4"/>
              <w:right w:val="single" w:color="CCCCCC" w:sz="4"/>
            </w:tcBorders>
            <w:shd w:color="EBF3FB" w:val="clear"/>
            <w:tcMar>
              <w:top w:type="dxa" w:w="80"/>
              <w:left w:type="dxa" w:w="120"/>
              <w:bottom w:type="dxa" w:w="80"/>
              <w:right w:type="dxa" w:w="120"/>
            </w:tcMar>
          </w:tcPr>
          <w:p>
            <w:r>
              <w:rPr>
                <w:rFonts w:ascii="Arial" w:cs="Arial" w:eastAsia="Arial" w:hAnsi="Arial"/>
                <w:sz w:val="19"/>
                <w:szCs w:val="19"/>
              </w:rPr>
              <w:t xml:space="preserve">Information Security Manager</w:t>
            </w:r>
          </w:p>
        </w:tc>
      </w:tr>
      <w:tr>
        <w:tc>
          <w:tcPr>
            <w:tcW w:type="dxa" w:w="3000"/>
            <w:tcBorders>
              <w:top w:val="single" w:color="CCCCCC" w:sz="4"/>
              <w:left w:val="single" w:color="CCCCCC" w:sz="4"/>
              <w:bottom w:val="single" w:color="CCCCCC" w:sz="4"/>
              <w:right w:val="single" w:color="CCCCCC" w:sz="4"/>
            </w:tcBorders>
            <w:shd w:color="FFFFFF" w:val="clear"/>
            <w:tcMar>
              <w:top w:type="dxa" w:w="80"/>
              <w:left w:type="dxa" w:w="120"/>
              <w:bottom w:type="dxa" w:w="80"/>
              <w:right w:type="dxa" w:w="120"/>
            </w:tcMar>
          </w:tcPr>
          <w:p>
            <w:r>
              <w:rPr>
                <w:rFonts w:ascii="Arial" w:cs="Arial" w:eastAsia="Arial" w:hAnsi="Arial"/>
                <w:b/>
                <w:bCs/>
                <w:sz w:val="19"/>
                <w:szCs w:val="19"/>
              </w:rPr>
              <w:t xml:space="preserve">Approved By</w:t>
            </w:r>
          </w:p>
        </w:tc>
        <w:tc>
          <w:tcPr>
            <w:tcW w:type="dxa" w:w="6026"/>
            <w:tcBorders>
              <w:top w:val="single" w:color="CCCCCC" w:sz="4"/>
              <w:left w:val="single" w:color="CCCCCC" w:sz="4"/>
              <w:bottom w:val="single" w:color="CCCCCC" w:sz="4"/>
              <w:right w:val="single" w:color="CCCCCC" w:sz="4"/>
            </w:tcBorders>
            <w:shd w:color="FFFFFF" w:val="clear"/>
            <w:tcMar>
              <w:top w:type="dxa" w:w="80"/>
              <w:left w:type="dxa" w:w="120"/>
              <w:bottom w:type="dxa" w:w="80"/>
              <w:right w:type="dxa" w:w="120"/>
            </w:tcMar>
          </w:tcPr>
          <w:p>
            <w:r>
              <w:rPr>
                <w:rFonts w:ascii="Arial" w:cs="Arial" w:eastAsia="Arial" w:hAnsi="Arial"/>
                <w:sz w:val="19"/>
                <w:szCs w:val="19"/>
              </w:rPr>
              <w:t xml:space="preserve">Chief Executive Officer</w:t>
            </w:r>
          </w:p>
        </w:tc>
      </w:tr>
      <w:tr>
        <w:tc>
          <w:tcPr>
            <w:tcW w:type="dxa" w:w="3000"/>
            <w:tcBorders>
              <w:top w:val="single" w:color="CCCCCC" w:sz="4"/>
              <w:left w:val="single" w:color="CCCCCC" w:sz="4"/>
              <w:bottom w:val="single" w:color="CCCCCC" w:sz="4"/>
              <w:right w:val="single" w:color="CCCCCC" w:sz="4"/>
            </w:tcBorders>
            <w:shd w:color="EBF3FB" w:val="clear"/>
            <w:tcMar>
              <w:top w:type="dxa" w:w="80"/>
              <w:left w:type="dxa" w:w="120"/>
              <w:bottom w:type="dxa" w:w="80"/>
              <w:right w:type="dxa" w:w="120"/>
            </w:tcMar>
          </w:tcPr>
          <w:p>
            <w:r>
              <w:rPr>
                <w:rFonts w:ascii="Arial" w:cs="Arial" w:eastAsia="Arial" w:hAnsi="Arial"/>
                <w:b/>
                <w:bCs/>
                <w:sz w:val="19"/>
                <w:szCs w:val="19"/>
              </w:rPr>
              <w:t xml:space="preserve">Applies To</w:t>
            </w:r>
          </w:p>
        </w:tc>
        <w:tc>
          <w:tcPr>
            <w:tcW w:type="dxa" w:w="6026"/>
            <w:tcBorders>
              <w:top w:val="single" w:color="CCCCCC" w:sz="4"/>
              <w:left w:val="single" w:color="CCCCCC" w:sz="4"/>
              <w:bottom w:val="single" w:color="CCCCCC" w:sz="4"/>
              <w:right w:val="single" w:color="CCCCCC" w:sz="4"/>
            </w:tcBorders>
            <w:shd w:color="EBF3FB" w:val="clear"/>
            <w:tcMar>
              <w:top w:type="dxa" w:w="80"/>
              <w:left w:type="dxa" w:w="120"/>
              <w:bottom w:type="dxa" w:w="80"/>
              <w:right w:type="dxa" w:w="120"/>
            </w:tcMar>
          </w:tcPr>
          <w:p>
            <w:r>
              <w:rPr>
                <w:rFonts w:ascii="Arial" w:cs="Arial" w:eastAsia="Arial" w:hAnsi="Arial"/>
                <w:sz w:val="19"/>
                <w:szCs w:val="19"/>
              </w:rPr>
              <w:t xml:space="preserve">All employees, contractors, and third-party users across all Kontrucktors SA offices</w:t>
            </w:r>
          </w:p>
        </w:tc>
      </w:tr>
    </w:tbl>
    <w:p>
      <w:pPr>
        <w:spacing w:after="0" w:before="200"/>
      </w:pPr>
      <w:r>
        <w:br w:type="page"/>
      </w:r>
    </w:p>
    <w:p>
      <w:pPr>
        <w:pBdr>
          <w:bottom w:val="single" w:color="1F3864" w:sz="8"/>
        </w:pBdr>
        <w:spacing w:after="80" w:before="280"/>
      </w:pPr>
      <w:r>
        <w:rPr>
          <w:rFonts w:ascii="Arial" w:cs="Arial" w:eastAsia="Arial" w:hAnsi="Arial"/>
          <w:b/>
          <w:bCs/>
          <w:color w:val="1F3864"/>
          <w:sz w:val="26"/>
          <w:szCs w:val="26"/>
        </w:rPr>
        <w:t xml:space="preserve">1. Purpose</w:t>
      </w:r>
    </w:p>
    <w:p>
      <w:pPr>
        <w:spacing w:after="120" w:before="0"/>
        <w:jc w:val="both"/>
      </w:pPr>
      <w:r>
        <w:rPr>
          <w:rFonts w:ascii="Arial" w:cs="Arial" w:eastAsia="Arial" w:hAnsi="Arial"/>
          <w:color w:val="000000"/>
          <w:sz w:val="20"/>
          <w:szCs w:val="20"/>
        </w:rPr>
        <w:t xml:space="preserve">This Acceptable Use Policy (AUP) defines the rules and responsibilities governing the use of Kontrucktors SA information systems, technology assets, and data resources. It is designed to protect the confidentiality, integrity, and availability of company information and to ensure that all users of Kontrucktors SA systems act in a manner consistent with Swiss law, applicable data protection regulations including the Federal Act on Data Protection (FADP/LPD) and the General Data Protection Regulation (GDPR), and the company's internal security standards.</w:t>
      </w:r>
    </w:p>
    <w:p>
      <w:pPr>
        <w:spacing w:after="120" w:before="0"/>
        <w:jc w:val="both"/>
      </w:pPr>
      <w:r>
        <w:rPr>
          <w:rFonts w:ascii="Arial" w:cs="Arial" w:eastAsia="Arial" w:hAnsi="Arial"/>
          <w:color w:val="000000"/>
          <w:sz w:val="20"/>
          <w:szCs w:val="20"/>
        </w:rPr>
        <w:t xml:space="preserve">This policy applies to all information systems owned, leased, or operated by Kontrucktors SA, including but not limited to: workstations, laptops, mobile devices, servers, cloud services, communication platforms, and network infrastructure across all four office locations in Geneva, Lausanne, Zurich, and Lugano.</w:t>
      </w:r>
    </w:p>
    <w:p>
      <w:pPr>
        <w:pBdr>
          <w:bottom w:val="single" w:color="1F3864" w:sz="8"/>
        </w:pBdr>
        <w:spacing w:after="80" w:before="280"/>
      </w:pPr>
      <w:r>
        <w:rPr>
          <w:rFonts w:ascii="Arial" w:cs="Arial" w:eastAsia="Arial" w:hAnsi="Arial"/>
          <w:b/>
          <w:bCs/>
          <w:color w:val="1F3864"/>
          <w:sz w:val="26"/>
          <w:szCs w:val="26"/>
        </w:rPr>
        <w:t xml:space="preserve">2. Scope</w:t>
      </w:r>
    </w:p>
    <w:p>
      <w:pPr>
        <w:spacing w:after="120" w:before="0"/>
        <w:jc w:val="both"/>
      </w:pPr>
      <w:r>
        <w:rPr>
          <w:rFonts w:ascii="Arial" w:cs="Arial" w:eastAsia="Arial" w:hAnsi="Arial"/>
          <w:color w:val="000000"/>
          <w:sz w:val="20"/>
          <w:szCs w:val="20"/>
        </w:rPr>
        <w:t xml:space="preserve">This policy applies to:</w:t>
      </w:r>
    </w:p>
    <w:p>
      <w:pPr>
        <w:pStyle w:val="ListParagraph"/>
        <w:numPr>
          <w:ilvl w:val="0"/>
          <w:numId w:val="2"/>
        </w:numPr>
        <w:spacing w:after="30" w:before="30"/>
      </w:pPr>
      <w:r>
        <w:rPr>
          <w:rFonts w:ascii="Arial" w:cs="Arial" w:eastAsia="Arial" w:hAnsi="Arial"/>
          <w:color w:val="000000"/>
          <w:sz w:val="20"/>
          <w:szCs w:val="20"/>
        </w:rPr>
        <w:t xml:space="preserve">All permanent and temporary employees of Kontrucktors SA</w:t>
      </w:r>
    </w:p>
    <w:p>
      <w:pPr>
        <w:pStyle w:val="ListParagraph"/>
        <w:numPr>
          <w:ilvl w:val="0"/>
          <w:numId w:val="2"/>
        </w:numPr>
        <w:spacing w:after="30" w:before="30"/>
      </w:pPr>
      <w:r>
        <w:rPr>
          <w:rFonts w:ascii="Arial" w:cs="Arial" w:eastAsia="Arial" w:hAnsi="Arial"/>
          <w:color w:val="000000"/>
          <w:sz w:val="20"/>
          <w:szCs w:val="20"/>
        </w:rPr>
        <w:t xml:space="preserve">Contractors, consultants, and freelancers engaged by Kontrucktors SA</w:t>
      </w:r>
    </w:p>
    <w:p>
      <w:pPr>
        <w:pStyle w:val="ListParagraph"/>
        <w:numPr>
          <w:ilvl w:val="0"/>
          <w:numId w:val="2"/>
        </w:numPr>
        <w:spacing w:after="30" w:before="30"/>
      </w:pPr>
      <w:r>
        <w:rPr>
          <w:rFonts w:ascii="Arial" w:cs="Arial" w:eastAsia="Arial" w:hAnsi="Arial"/>
          <w:color w:val="000000"/>
          <w:sz w:val="20"/>
          <w:szCs w:val="20"/>
        </w:rPr>
        <w:t xml:space="preserve">Third-party vendors and partners with access to Kontrucktors SA systems or data</w:t>
      </w:r>
    </w:p>
    <w:p>
      <w:pPr>
        <w:pStyle w:val="ListParagraph"/>
        <w:numPr>
          <w:ilvl w:val="0"/>
          <w:numId w:val="2"/>
        </w:numPr>
        <w:spacing w:after="30" w:before="30"/>
      </w:pPr>
      <w:r>
        <w:rPr>
          <w:rFonts w:ascii="Arial" w:cs="Arial" w:eastAsia="Arial" w:hAnsi="Arial"/>
          <w:color w:val="000000"/>
          <w:sz w:val="20"/>
          <w:szCs w:val="20"/>
        </w:rPr>
        <w:t xml:space="preserve">Board members and senior management accessing company information resources</w:t>
      </w:r>
    </w:p>
    <w:p>
      <w:pPr>
        <w:spacing w:after="120" w:before="0"/>
      </w:pPr>
    </w:p>
    <w:p>
      <w:pPr>
        <w:spacing w:after="120" w:before="0"/>
        <w:jc w:val="both"/>
      </w:pPr>
      <w:r>
        <w:rPr>
          <w:rFonts w:ascii="Arial" w:cs="Arial" w:eastAsia="Arial" w:hAnsi="Arial"/>
          <w:color w:val="000000"/>
          <w:sz w:val="20"/>
          <w:szCs w:val="20"/>
        </w:rPr>
        <w:t xml:space="preserve">This policy covers all information systems, devices, and networks used to conduct Kontrucktors SA business, regardless of whether those systems are located on company premises, at a client site, or accessed remotely.</w:t>
      </w:r>
    </w:p>
    <w:p>
      <w:pPr>
        <w:pBdr>
          <w:bottom w:val="single" w:color="1F3864" w:sz="8"/>
        </w:pBdr>
        <w:spacing w:after="80" w:before="280"/>
      </w:pPr>
      <w:r>
        <w:rPr>
          <w:rFonts w:ascii="Arial" w:cs="Arial" w:eastAsia="Arial" w:hAnsi="Arial"/>
          <w:b/>
          <w:bCs/>
          <w:color w:val="1F3864"/>
          <w:sz w:val="26"/>
          <w:szCs w:val="26"/>
        </w:rPr>
        <w:t xml:space="preserve">3.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1F3864" w:sz="4"/>
              <w:left w:val="single" w:color="1F3864" w:sz="4"/>
              <w:bottom w:val="single" w:color="1F3864" w:sz="4"/>
              <w:right w:val="single" w:color="1F3864" w:sz="4"/>
            </w:tcBorders>
            <w:shd w:color="1F3864" w:val="clear"/>
            <w:tcMar>
              <w:top w:type="dxa" w:w="80"/>
              <w:left w:type="dxa" w:w="120"/>
              <w:bottom w:type="dxa" w:w="80"/>
              <w:right w:type="dxa" w:w="120"/>
            </w:tcMar>
          </w:tcPr>
          <w:p>
            <w:r>
              <w:rPr>
                <w:rFonts w:ascii="Arial" w:cs="Arial" w:eastAsia="Arial" w:hAnsi="Arial"/>
                <w:b/>
                <w:bCs/>
                <w:color w:val="FFFFFF"/>
                <w:sz w:val="19"/>
                <w:szCs w:val="19"/>
              </w:rPr>
              <w:t xml:space="preserve">Term</w:t>
            </w:r>
          </w:p>
        </w:tc>
        <w:tc>
          <w:tcPr>
            <w:tcW w:type="dxa" w:w="6426"/>
            <w:tcBorders>
              <w:top w:val="single" w:color="1F3864" w:sz="4"/>
              <w:left w:val="single" w:color="1F3864" w:sz="4"/>
              <w:bottom w:val="single" w:color="1F3864" w:sz="4"/>
              <w:right w:val="single" w:color="1F3864" w:sz="4"/>
            </w:tcBorders>
            <w:shd w:color="1F3864" w:val="clear"/>
            <w:tcMar>
              <w:top w:type="dxa" w:w="80"/>
              <w:left w:type="dxa" w:w="120"/>
              <w:bottom w:type="dxa" w:w="80"/>
              <w:right w:type="dxa" w:w="120"/>
            </w:tcMar>
          </w:tcPr>
          <w:p>
            <w:r>
              <w:rPr>
                <w:rFonts w:ascii="Arial" w:cs="Arial" w:eastAsia="Arial" w:hAnsi="Arial"/>
                <w:b/>
                <w:bCs/>
                <w:color w:val="FFFFFF"/>
                <w:sz w:val="19"/>
                <w:szCs w:val="19"/>
              </w:rPr>
              <w:t xml:space="preserve">Definition</w:t>
            </w:r>
          </w:p>
        </w:tc>
      </w:tr>
      <w:tr>
        <w:tc>
          <w:tcPr>
            <w:tcW w:type="dxa" w:w="3000"/>
            <w:tcBorders>
              <w:top w:val="single" w:color="CCCCCC" w:sz="4"/>
              <w:left w:val="single" w:color="CCCCCC" w:sz="4"/>
              <w:bottom w:val="single" w:color="CCCCCC" w:sz="4"/>
              <w:right w:val="single" w:color="CCCCCC" w:sz="4"/>
            </w:tcBorders>
            <w:shd w:color="FFFFFF" w:val="clear"/>
            <w:tcMar>
              <w:top w:type="dxa" w:w="80"/>
              <w:left w:type="dxa" w:w="120"/>
              <w:bottom w:type="dxa" w:w="80"/>
              <w:right w:type="dxa" w:w="120"/>
            </w:tcMar>
          </w:tcPr>
          <w:p>
            <w:r>
              <w:rPr>
                <w:rFonts w:ascii="Arial" w:cs="Arial" w:eastAsia="Arial" w:hAnsi="Arial"/>
                <w:b/>
                <w:bCs/>
                <w:sz w:val="19"/>
                <w:szCs w:val="19"/>
              </w:rPr>
              <w:t xml:space="preserve">Information Systems</w:t>
            </w:r>
          </w:p>
        </w:tc>
        <w:tc>
          <w:tcPr>
            <w:tcW w:type="dxa" w:w="6026"/>
            <w:tcBorders>
              <w:top w:val="single" w:color="CCCCCC" w:sz="4"/>
              <w:left w:val="single" w:color="CCCCCC" w:sz="4"/>
              <w:bottom w:val="single" w:color="CCCCCC" w:sz="4"/>
              <w:right w:val="single" w:color="CCCCCC" w:sz="4"/>
            </w:tcBorders>
            <w:shd w:color="FFFFFF" w:val="clear"/>
            <w:tcMar>
              <w:top w:type="dxa" w:w="80"/>
              <w:left w:type="dxa" w:w="120"/>
              <w:bottom w:type="dxa" w:w="80"/>
              <w:right w:type="dxa" w:w="120"/>
            </w:tcMar>
          </w:tcPr>
          <w:p>
            <w:r>
              <w:rPr>
                <w:rFonts w:ascii="Arial" w:cs="Arial" w:eastAsia="Arial" w:hAnsi="Arial"/>
                <w:sz w:val="19"/>
                <w:szCs w:val="19"/>
              </w:rPr>
              <w:t xml:space="preserve">All hardware, software, networks, and data storage used to process, transmit, or store company information</w:t>
            </w:r>
          </w:p>
        </w:tc>
      </w:tr>
      <w:tr>
        <w:tc>
          <w:tcPr>
            <w:tcW w:type="dxa" w:w="3000"/>
            <w:tcBorders>
              <w:top w:val="single" w:color="CCCCCC" w:sz="4"/>
              <w:left w:val="single" w:color="CCCCCC" w:sz="4"/>
              <w:bottom w:val="single" w:color="CCCCCC" w:sz="4"/>
              <w:right w:val="single" w:color="CCCCCC" w:sz="4"/>
            </w:tcBorders>
            <w:shd w:color="EBF3FB" w:val="clear"/>
            <w:tcMar>
              <w:top w:type="dxa" w:w="80"/>
              <w:left w:type="dxa" w:w="120"/>
              <w:bottom w:type="dxa" w:w="80"/>
              <w:right w:type="dxa" w:w="120"/>
            </w:tcMar>
          </w:tcPr>
          <w:p>
            <w:r>
              <w:rPr>
                <w:rFonts w:ascii="Arial" w:cs="Arial" w:eastAsia="Arial" w:hAnsi="Arial"/>
                <w:b/>
                <w:bCs/>
                <w:sz w:val="19"/>
                <w:szCs w:val="19"/>
              </w:rPr>
              <w:t xml:space="preserve">User</w:t>
            </w:r>
          </w:p>
        </w:tc>
        <w:tc>
          <w:tcPr>
            <w:tcW w:type="dxa" w:w="6026"/>
            <w:tcBorders>
              <w:top w:val="single" w:color="CCCCCC" w:sz="4"/>
              <w:left w:val="single" w:color="CCCCCC" w:sz="4"/>
              <w:bottom w:val="single" w:color="CCCCCC" w:sz="4"/>
              <w:right w:val="single" w:color="CCCCCC" w:sz="4"/>
            </w:tcBorders>
            <w:shd w:color="EBF3FB" w:val="clear"/>
            <w:tcMar>
              <w:top w:type="dxa" w:w="80"/>
              <w:left w:type="dxa" w:w="120"/>
              <w:bottom w:type="dxa" w:w="80"/>
              <w:right w:type="dxa" w:w="120"/>
            </w:tcMar>
          </w:tcPr>
          <w:p>
            <w:r>
              <w:rPr>
                <w:rFonts w:ascii="Arial" w:cs="Arial" w:eastAsia="Arial" w:hAnsi="Arial"/>
                <w:sz w:val="19"/>
                <w:szCs w:val="19"/>
              </w:rPr>
              <w:t xml:space="preserve">Any individual granted access to Kontrucktors SA information systems</w:t>
            </w:r>
          </w:p>
        </w:tc>
      </w:tr>
      <w:tr>
        <w:tc>
          <w:tcPr>
            <w:tcW w:type="dxa" w:w="3000"/>
            <w:tcBorders>
              <w:top w:val="single" w:color="CCCCCC" w:sz="4"/>
              <w:left w:val="single" w:color="CCCCCC" w:sz="4"/>
              <w:bottom w:val="single" w:color="CCCCCC" w:sz="4"/>
              <w:right w:val="single" w:color="CCCCCC" w:sz="4"/>
            </w:tcBorders>
            <w:shd w:color="FFFFFF" w:val="clear"/>
            <w:tcMar>
              <w:top w:type="dxa" w:w="80"/>
              <w:left w:type="dxa" w:w="120"/>
              <w:bottom w:type="dxa" w:w="80"/>
              <w:right w:type="dxa" w:w="120"/>
            </w:tcMar>
          </w:tcPr>
          <w:p>
            <w:r>
              <w:rPr>
                <w:rFonts w:ascii="Arial" w:cs="Arial" w:eastAsia="Arial" w:hAnsi="Arial"/>
                <w:b/>
                <w:bCs/>
                <w:sz w:val="19"/>
                <w:szCs w:val="19"/>
              </w:rPr>
              <w:t xml:space="preserve">Company Data</w:t>
            </w:r>
          </w:p>
        </w:tc>
        <w:tc>
          <w:tcPr>
            <w:tcW w:type="dxa" w:w="6026"/>
            <w:tcBorders>
              <w:top w:val="single" w:color="CCCCCC" w:sz="4"/>
              <w:left w:val="single" w:color="CCCCCC" w:sz="4"/>
              <w:bottom w:val="single" w:color="CCCCCC" w:sz="4"/>
              <w:right w:val="single" w:color="CCCCCC" w:sz="4"/>
            </w:tcBorders>
            <w:shd w:color="FFFFFF" w:val="clear"/>
            <w:tcMar>
              <w:top w:type="dxa" w:w="80"/>
              <w:left w:type="dxa" w:w="120"/>
              <w:bottom w:type="dxa" w:w="80"/>
              <w:right w:type="dxa" w:w="120"/>
            </w:tcMar>
          </w:tcPr>
          <w:p>
            <w:r>
              <w:rPr>
                <w:rFonts w:ascii="Arial" w:cs="Arial" w:eastAsia="Arial" w:hAnsi="Arial"/>
                <w:sz w:val="19"/>
                <w:szCs w:val="19"/>
              </w:rPr>
              <w:t xml:space="preserve">All data created, received, processed, or stored on behalf of Kontrucktors SA</w:t>
            </w:r>
          </w:p>
        </w:tc>
      </w:tr>
      <w:tr>
        <w:tc>
          <w:tcPr>
            <w:tcW w:type="dxa" w:w="3000"/>
            <w:tcBorders>
              <w:top w:val="single" w:color="CCCCCC" w:sz="4"/>
              <w:left w:val="single" w:color="CCCCCC" w:sz="4"/>
              <w:bottom w:val="single" w:color="CCCCCC" w:sz="4"/>
              <w:right w:val="single" w:color="CCCCCC" w:sz="4"/>
            </w:tcBorders>
            <w:shd w:color="EBF3FB" w:val="clear"/>
            <w:tcMar>
              <w:top w:type="dxa" w:w="80"/>
              <w:left w:type="dxa" w:w="120"/>
              <w:bottom w:type="dxa" w:w="80"/>
              <w:right w:type="dxa" w:w="120"/>
            </w:tcMar>
          </w:tcPr>
          <w:p>
            <w:r>
              <w:rPr>
                <w:rFonts w:ascii="Arial" w:cs="Arial" w:eastAsia="Arial" w:hAnsi="Arial"/>
                <w:b/>
                <w:bCs/>
                <w:sz w:val="19"/>
                <w:szCs w:val="19"/>
              </w:rPr>
              <w:t xml:space="preserve">Sensitive Data</w:t>
            </w:r>
          </w:p>
        </w:tc>
        <w:tc>
          <w:tcPr>
            <w:tcW w:type="dxa" w:w="6026"/>
            <w:tcBorders>
              <w:top w:val="single" w:color="CCCCCC" w:sz="4"/>
              <w:left w:val="single" w:color="CCCCCC" w:sz="4"/>
              <w:bottom w:val="single" w:color="CCCCCC" w:sz="4"/>
              <w:right w:val="single" w:color="CCCCCC" w:sz="4"/>
            </w:tcBorders>
            <w:shd w:color="EBF3FB" w:val="clear"/>
            <w:tcMar>
              <w:top w:type="dxa" w:w="80"/>
              <w:left w:type="dxa" w:w="120"/>
              <w:bottom w:type="dxa" w:w="80"/>
              <w:right w:type="dxa" w:w="120"/>
            </w:tcMar>
          </w:tcPr>
          <w:p>
            <w:r>
              <w:rPr>
                <w:rFonts w:ascii="Arial" w:cs="Arial" w:eastAsia="Arial" w:hAnsi="Arial"/>
                <w:sz w:val="19"/>
                <w:szCs w:val="19"/>
              </w:rPr>
              <w:t xml:space="preserve">Personal data, financial data, customer records, fleet contracts, pricing information, and trade secrets</w:t>
            </w:r>
          </w:p>
        </w:tc>
      </w:tr>
      <w:tr>
        <w:tc>
          <w:tcPr>
            <w:tcW w:type="dxa" w:w="3000"/>
            <w:tcBorders>
              <w:top w:val="single" w:color="CCCCCC" w:sz="4"/>
              <w:left w:val="single" w:color="CCCCCC" w:sz="4"/>
              <w:bottom w:val="single" w:color="CCCCCC" w:sz="4"/>
              <w:right w:val="single" w:color="CCCCCC" w:sz="4"/>
            </w:tcBorders>
            <w:shd w:color="FFFFFF" w:val="clear"/>
            <w:tcMar>
              <w:top w:type="dxa" w:w="80"/>
              <w:left w:type="dxa" w:w="120"/>
              <w:bottom w:type="dxa" w:w="80"/>
              <w:right w:type="dxa" w:w="120"/>
            </w:tcMar>
          </w:tcPr>
          <w:p>
            <w:r>
              <w:rPr>
                <w:rFonts w:ascii="Arial" w:cs="Arial" w:eastAsia="Arial" w:hAnsi="Arial"/>
                <w:b/>
                <w:bCs/>
                <w:sz w:val="19"/>
                <w:szCs w:val="19"/>
              </w:rPr>
              <w:t xml:space="preserve">Authorised Use</w:t>
            </w:r>
          </w:p>
        </w:tc>
        <w:tc>
          <w:tcPr>
            <w:tcW w:type="dxa" w:w="6026"/>
            <w:tcBorders>
              <w:top w:val="single" w:color="CCCCCC" w:sz="4"/>
              <w:left w:val="single" w:color="CCCCCC" w:sz="4"/>
              <w:bottom w:val="single" w:color="CCCCCC" w:sz="4"/>
              <w:right w:val="single" w:color="CCCCCC" w:sz="4"/>
            </w:tcBorders>
            <w:shd w:color="FFFFFF" w:val="clear"/>
            <w:tcMar>
              <w:top w:type="dxa" w:w="80"/>
              <w:left w:type="dxa" w:w="120"/>
              <w:bottom w:type="dxa" w:w="80"/>
              <w:right w:type="dxa" w:w="120"/>
            </w:tcMar>
          </w:tcPr>
          <w:p>
            <w:r>
              <w:rPr>
                <w:rFonts w:ascii="Arial" w:cs="Arial" w:eastAsia="Arial" w:hAnsi="Arial"/>
                <w:sz w:val="19"/>
                <w:szCs w:val="19"/>
              </w:rPr>
              <w:t xml:space="preserve">Use of company systems for legitimate business purposes as defined in this policy</w:t>
            </w:r>
          </w:p>
        </w:tc>
      </w:tr>
      <w:tr>
        <w:tc>
          <w:tcPr>
            <w:tcW w:type="dxa" w:w="3000"/>
            <w:tcBorders>
              <w:top w:val="single" w:color="CCCCCC" w:sz="4"/>
              <w:left w:val="single" w:color="CCCCCC" w:sz="4"/>
              <w:bottom w:val="single" w:color="CCCCCC" w:sz="4"/>
              <w:right w:val="single" w:color="CCCCCC" w:sz="4"/>
            </w:tcBorders>
            <w:shd w:color="EBF3FB" w:val="clear"/>
            <w:tcMar>
              <w:top w:type="dxa" w:w="80"/>
              <w:left w:type="dxa" w:w="120"/>
              <w:bottom w:type="dxa" w:w="80"/>
              <w:right w:type="dxa" w:w="120"/>
            </w:tcMar>
          </w:tcPr>
          <w:p>
            <w:r>
              <w:rPr>
                <w:rFonts w:ascii="Arial" w:cs="Arial" w:eastAsia="Arial" w:hAnsi="Arial"/>
                <w:b/>
                <w:bCs/>
                <w:sz w:val="19"/>
                <w:szCs w:val="19"/>
              </w:rPr>
              <w:t xml:space="preserve">Security Incident</w:t>
            </w:r>
          </w:p>
        </w:tc>
        <w:tc>
          <w:tcPr>
            <w:tcW w:type="dxa" w:w="6026"/>
            <w:tcBorders>
              <w:top w:val="single" w:color="CCCCCC" w:sz="4"/>
              <w:left w:val="single" w:color="CCCCCC" w:sz="4"/>
              <w:bottom w:val="single" w:color="CCCCCC" w:sz="4"/>
              <w:right w:val="single" w:color="CCCCCC" w:sz="4"/>
            </w:tcBorders>
            <w:shd w:color="EBF3FB" w:val="clear"/>
            <w:tcMar>
              <w:top w:type="dxa" w:w="80"/>
              <w:left w:type="dxa" w:w="120"/>
              <w:bottom w:type="dxa" w:w="80"/>
              <w:right w:type="dxa" w:w="120"/>
            </w:tcMar>
          </w:tcPr>
          <w:p>
            <w:r>
              <w:rPr>
                <w:rFonts w:ascii="Arial" w:cs="Arial" w:eastAsia="Arial" w:hAnsi="Arial"/>
                <w:sz w:val="19"/>
                <w:szCs w:val="19"/>
              </w:rPr>
              <w:t xml:space="preserve">Any actual or suspected breach of information security affecting company systems or data</w:t>
            </w:r>
          </w:p>
        </w:tc>
      </w:tr>
    </w:tbl>
    <w:p>
      <w:pPr>
        <w:pBdr>
          <w:bottom w:val="single" w:color="1F3864" w:sz="8"/>
        </w:pBdr>
        <w:spacing w:after="80" w:before="280"/>
      </w:pPr>
      <w:r>
        <w:rPr>
          <w:rFonts w:ascii="Arial" w:cs="Arial" w:eastAsia="Arial" w:hAnsi="Arial"/>
          <w:b/>
          <w:bCs/>
          <w:color w:val="1F3864"/>
          <w:sz w:val="26"/>
          <w:szCs w:val="26"/>
        </w:rPr>
        <w:t xml:space="preserve">4. Authorised Use of Company Systems</w:t>
      </w:r>
    </w:p>
    <w:p>
      <w:pPr>
        <w:spacing w:after="120" w:before="0"/>
        <w:jc w:val="both"/>
      </w:pPr>
      <w:r>
        <w:rPr>
          <w:rFonts w:ascii="Arial" w:cs="Arial" w:eastAsia="Arial" w:hAnsi="Arial"/>
          <w:color w:val="000000"/>
          <w:sz w:val="20"/>
          <w:szCs w:val="20"/>
        </w:rPr>
        <w:t xml:space="preserve">Kontrucktors SA information systems are provided for legitimate business purposes. Users are expected to use these resources in a professional, lawful, and responsible manner. The following uses are authorised:</w:t>
      </w:r>
    </w:p>
    <w:p>
      <w:pPr>
        <w:spacing w:after="60" w:before="200"/>
      </w:pPr>
      <w:r>
        <w:rPr>
          <w:rFonts w:ascii="Arial" w:cs="Arial" w:eastAsia="Arial" w:hAnsi="Arial"/>
          <w:b/>
          <w:bCs/>
          <w:color w:val="2E75B6"/>
          <w:sz w:val="22"/>
          <w:szCs w:val="22"/>
        </w:rPr>
        <w:t xml:space="preserve">4.1 Business Use</w:t>
      </w:r>
    </w:p>
    <w:p>
      <w:pPr>
        <w:pStyle w:val="ListParagraph"/>
        <w:numPr>
          <w:ilvl w:val="0"/>
          <w:numId w:val="2"/>
        </w:numPr>
        <w:spacing w:after="30" w:before="30"/>
      </w:pPr>
      <w:r>
        <w:rPr>
          <w:rFonts w:ascii="Arial" w:cs="Arial" w:eastAsia="Arial" w:hAnsi="Arial"/>
          <w:color w:val="000000"/>
          <w:sz w:val="20"/>
          <w:szCs w:val="20"/>
        </w:rPr>
        <w:t xml:space="preserve">Processing customer leasing and sales contracts for trucks and construction equipment</w:t>
      </w:r>
    </w:p>
    <w:p>
      <w:pPr>
        <w:pStyle w:val="ListParagraph"/>
        <w:numPr>
          <w:ilvl w:val="0"/>
          <w:numId w:val="2"/>
        </w:numPr>
        <w:spacing w:after="30" w:before="30"/>
      </w:pPr>
      <w:r>
        <w:rPr>
          <w:rFonts w:ascii="Arial" w:cs="Arial" w:eastAsia="Arial" w:hAnsi="Arial"/>
          <w:color w:val="000000"/>
          <w:sz w:val="20"/>
          <w:szCs w:val="20"/>
        </w:rPr>
        <w:t xml:space="preserve">Managing fleet records, maintenance schedules, and vehicle documentation</w:t>
      </w:r>
    </w:p>
    <w:p>
      <w:pPr>
        <w:pStyle w:val="ListParagraph"/>
        <w:numPr>
          <w:ilvl w:val="0"/>
          <w:numId w:val="2"/>
        </w:numPr>
        <w:spacing w:after="30" w:before="30"/>
      </w:pPr>
      <w:r>
        <w:rPr>
          <w:rFonts w:ascii="Arial" w:cs="Arial" w:eastAsia="Arial" w:hAnsi="Arial"/>
          <w:color w:val="000000"/>
          <w:sz w:val="20"/>
          <w:szCs w:val="20"/>
        </w:rPr>
        <w:t xml:space="preserve">Communicating with clients, suppliers, and partners via approved channels</w:t>
      </w:r>
    </w:p>
    <w:p>
      <w:pPr>
        <w:pStyle w:val="ListParagraph"/>
        <w:numPr>
          <w:ilvl w:val="0"/>
          <w:numId w:val="2"/>
        </w:numPr>
        <w:spacing w:after="30" w:before="30"/>
      </w:pPr>
      <w:r>
        <w:rPr>
          <w:rFonts w:ascii="Arial" w:cs="Arial" w:eastAsia="Arial" w:hAnsi="Arial"/>
          <w:color w:val="000000"/>
          <w:sz w:val="20"/>
          <w:szCs w:val="20"/>
        </w:rPr>
        <w:t xml:space="preserve">Accessing internal business applications and databases required for job functions</w:t>
      </w:r>
    </w:p>
    <w:p>
      <w:pPr>
        <w:pStyle w:val="ListParagraph"/>
        <w:numPr>
          <w:ilvl w:val="0"/>
          <w:numId w:val="2"/>
        </w:numPr>
        <w:spacing w:after="30" w:before="30"/>
      </w:pPr>
      <w:r>
        <w:rPr>
          <w:rFonts w:ascii="Arial" w:cs="Arial" w:eastAsia="Arial" w:hAnsi="Arial"/>
          <w:color w:val="000000"/>
          <w:sz w:val="20"/>
          <w:szCs w:val="20"/>
        </w:rPr>
        <w:t xml:space="preserve">Using approved cloud services and collaboration tools for work-related purposes</w:t>
      </w:r>
    </w:p>
    <w:p>
      <w:pPr>
        <w:spacing w:after="60" w:before="200"/>
      </w:pPr>
      <w:r>
        <w:rPr>
          <w:rFonts w:ascii="Arial" w:cs="Arial" w:eastAsia="Arial" w:hAnsi="Arial"/>
          <w:b/>
          <w:bCs/>
          <w:color w:val="2E75B6"/>
          <w:sz w:val="22"/>
          <w:szCs w:val="22"/>
        </w:rPr>
        <w:t xml:space="preserve">4.2 Limited Personal Use</w:t>
      </w:r>
    </w:p>
    <w:p>
      <w:pPr>
        <w:spacing w:after="120" w:before="0"/>
        <w:jc w:val="both"/>
      </w:pPr>
      <w:r>
        <w:rPr>
          <w:rFonts w:ascii="Arial" w:cs="Arial" w:eastAsia="Arial" w:hAnsi="Arial"/>
          <w:color w:val="000000"/>
          <w:sz w:val="20"/>
          <w:szCs w:val="20"/>
        </w:rPr>
        <w:t xml:space="preserve">Incidental and reasonable personal use of company systems is permitted provided it does not interfere with work responsibilities, does not consume significant company resources, complies with all other provisions of this policy, and does not create legal liability for Kontrucktors SA. Users should have no expectation of privacy when using company systems for personal purposes.</w:t>
      </w:r>
    </w:p>
    <w:p>
      <w:pPr>
        <w:pBdr>
          <w:bottom w:val="single" w:color="1F3864" w:sz="8"/>
        </w:pBdr>
        <w:spacing w:after="80" w:before="280"/>
      </w:pPr>
      <w:r>
        <w:rPr>
          <w:rFonts w:ascii="Arial" w:cs="Arial" w:eastAsia="Arial" w:hAnsi="Arial"/>
          <w:b/>
          <w:bCs/>
          <w:color w:val="1F3864"/>
          <w:sz w:val="26"/>
          <w:szCs w:val="26"/>
        </w:rPr>
        <w:t xml:space="preserve">5. Prohibited Activities</w:t>
      </w:r>
    </w:p>
    <w:p>
      <w:pPr>
        <w:spacing w:after="120" w:before="0"/>
        <w:jc w:val="both"/>
      </w:pPr>
      <w:r>
        <w:rPr>
          <w:rFonts w:ascii="Arial" w:cs="Arial" w:eastAsia="Arial" w:hAnsi="Arial"/>
          <w:color w:val="000000"/>
          <w:sz w:val="20"/>
          <w:szCs w:val="20"/>
        </w:rPr>
        <w:t xml:space="preserve">The following activities are strictly prohibited on Kontrucktors SA systems and networks:</w:t>
      </w:r>
    </w:p>
    <w:p>
      <w:pPr>
        <w:spacing w:after="60" w:before="200"/>
      </w:pPr>
      <w:r>
        <w:rPr>
          <w:rFonts w:ascii="Arial" w:cs="Arial" w:eastAsia="Arial" w:hAnsi="Arial"/>
          <w:b/>
          <w:bCs/>
          <w:color w:val="2E75B6"/>
          <w:sz w:val="22"/>
          <w:szCs w:val="22"/>
        </w:rPr>
        <w:t xml:space="preserve">5.1 Data Security</w:t>
      </w:r>
    </w:p>
    <w:p>
      <w:pPr>
        <w:pStyle w:val="ListParagraph"/>
        <w:numPr>
          <w:ilvl w:val="0"/>
          <w:numId w:val="2"/>
        </w:numPr>
        <w:spacing w:after="30" w:before="30"/>
      </w:pPr>
      <w:r>
        <w:rPr>
          <w:rFonts w:ascii="Arial" w:cs="Arial" w:eastAsia="Arial" w:hAnsi="Arial"/>
          <w:color w:val="000000"/>
          <w:sz w:val="20"/>
          <w:szCs w:val="20"/>
        </w:rPr>
        <w:t xml:space="preserve">Accessing, copying, or sharing company data without authorisation</w:t>
      </w:r>
    </w:p>
    <w:p>
      <w:pPr>
        <w:pStyle w:val="ListParagraph"/>
        <w:numPr>
          <w:ilvl w:val="0"/>
          <w:numId w:val="2"/>
        </w:numPr>
        <w:spacing w:after="30" w:before="30"/>
      </w:pPr>
      <w:r>
        <w:rPr>
          <w:rFonts w:ascii="Arial" w:cs="Arial" w:eastAsia="Arial" w:hAnsi="Arial"/>
          <w:color w:val="000000"/>
          <w:sz w:val="20"/>
          <w:szCs w:val="20"/>
        </w:rPr>
        <w:t xml:space="preserve">Transmitting sensitive customer or fleet data via unencrypted or unapproved channels</w:t>
      </w:r>
    </w:p>
    <w:p>
      <w:pPr>
        <w:pStyle w:val="ListParagraph"/>
        <w:numPr>
          <w:ilvl w:val="0"/>
          <w:numId w:val="2"/>
        </w:numPr>
        <w:spacing w:after="30" w:before="30"/>
      </w:pPr>
      <w:r>
        <w:rPr>
          <w:rFonts w:ascii="Arial" w:cs="Arial" w:eastAsia="Arial" w:hAnsi="Arial"/>
          <w:color w:val="000000"/>
          <w:sz w:val="20"/>
          <w:szCs w:val="20"/>
        </w:rPr>
        <w:t xml:space="preserve">Storing company data on personal devices or unauthorised cloud storage services</w:t>
      </w:r>
    </w:p>
    <w:p>
      <w:pPr>
        <w:pStyle w:val="ListParagraph"/>
        <w:numPr>
          <w:ilvl w:val="0"/>
          <w:numId w:val="2"/>
        </w:numPr>
        <w:spacing w:after="30" w:before="30"/>
      </w:pPr>
      <w:r>
        <w:rPr>
          <w:rFonts w:ascii="Arial" w:cs="Arial" w:eastAsia="Arial" w:hAnsi="Arial"/>
          <w:color w:val="000000"/>
          <w:sz w:val="20"/>
          <w:szCs w:val="20"/>
        </w:rPr>
        <w:t xml:space="preserve">Attempting to circumvent access controls, authentication mechanisms, or security software</w:t>
      </w:r>
    </w:p>
    <w:p>
      <w:pPr>
        <w:pStyle w:val="ListParagraph"/>
        <w:numPr>
          <w:ilvl w:val="0"/>
          <w:numId w:val="2"/>
        </w:numPr>
        <w:spacing w:after="30" w:before="30"/>
      </w:pPr>
      <w:r>
        <w:rPr>
          <w:rFonts w:ascii="Arial" w:cs="Arial" w:eastAsia="Arial" w:hAnsi="Arial"/>
          <w:color w:val="000000"/>
          <w:sz w:val="20"/>
          <w:szCs w:val="20"/>
        </w:rPr>
        <w:t xml:space="preserve">Sharing login credentials or access tokens with any other person</w:t>
      </w:r>
    </w:p>
    <w:p>
      <w:pPr>
        <w:spacing w:after="60" w:before="200"/>
      </w:pPr>
      <w:r>
        <w:rPr>
          <w:rFonts w:ascii="Arial" w:cs="Arial" w:eastAsia="Arial" w:hAnsi="Arial"/>
          <w:b/>
          <w:bCs/>
          <w:color w:val="2E75B6"/>
          <w:sz w:val="22"/>
          <w:szCs w:val="22"/>
        </w:rPr>
        <w:t xml:space="preserve">5.2 System Integrity</w:t>
      </w:r>
    </w:p>
    <w:p>
      <w:pPr>
        <w:pStyle w:val="ListParagraph"/>
        <w:numPr>
          <w:ilvl w:val="0"/>
          <w:numId w:val="2"/>
        </w:numPr>
        <w:spacing w:after="30" w:before="30"/>
      </w:pPr>
      <w:r>
        <w:rPr>
          <w:rFonts w:ascii="Arial" w:cs="Arial" w:eastAsia="Arial" w:hAnsi="Arial"/>
          <w:color w:val="000000"/>
          <w:sz w:val="20"/>
          <w:szCs w:val="20"/>
        </w:rPr>
        <w:t xml:space="preserve">Installing unauthorised software, applications, or browser extensions on company devices</w:t>
      </w:r>
    </w:p>
    <w:p>
      <w:pPr>
        <w:pStyle w:val="ListParagraph"/>
        <w:numPr>
          <w:ilvl w:val="0"/>
          <w:numId w:val="2"/>
        </w:numPr>
        <w:spacing w:after="30" w:before="30"/>
      </w:pPr>
      <w:r>
        <w:rPr>
          <w:rFonts w:ascii="Arial" w:cs="Arial" w:eastAsia="Arial" w:hAnsi="Arial"/>
          <w:color w:val="000000"/>
          <w:sz w:val="20"/>
          <w:szCs w:val="20"/>
        </w:rPr>
        <w:t xml:space="preserve">Modifying, disabling, or tampering with security software, firewalls, or monitoring tools</w:t>
      </w:r>
    </w:p>
    <w:p>
      <w:pPr>
        <w:pStyle w:val="ListParagraph"/>
        <w:numPr>
          <w:ilvl w:val="0"/>
          <w:numId w:val="2"/>
        </w:numPr>
        <w:spacing w:after="30" w:before="30"/>
      </w:pPr>
      <w:r>
        <w:rPr>
          <w:rFonts w:ascii="Arial" w:cs="Arial" w:eastAsia="Arial" w:hAnsi="Arial"/>
          <w:color w:val="000000"/>
          <w:sz w:val="20"/>
          <w:szCs w:val="20"/>
        </w:rPr>
        <w:t xml:space="preserve">Attempting to access systems or data beyond the scope of assigned job responsibilities</w:t>
      </w:r>
    </w:p>
    <w:p>
      <w:pPr>
        <w:pStyle w:val="ListParagraph"/>
        <w:numPr>
          <w:ilvl w:val="0"/>
          <w:numId w:val="2"/>
        </w:numPr>
        <w:spacing w:after="30" w:before="30"/>
      </w:pPr>
      <w:r>
        <w:rPr>
          <w:rFonts w:ascii="Arial" w:cs="Arial" w:eastAsia="Arial" w:hAnsi="Arial"/>
          <w:color w:val="000000"/>
          <w:sz w:val="20"/>
          <w:szCs w:val="20"/>
        </w:rPr>
        <w:t xml:space="preserve">Connecting personal devices to the corporate network without prior authorisation from IT</w:t>
      </w:r>
    </w:p>
    <w:p>
      <w:pPr>
        <w:pStyle w:val="ListParagraph"/>
        <w:numPr>
          <w:ilvl w:val="0"/>
          <w:numId w:val="2"/>
        </w:numPr>
        <w:spacing w:after="30" w:before="30"/>
      </w:pPr>
      <w:r>
        <w:rPr>
          <w:rFonts w:ascii="Arial" w:cs="Arial" w:eastAsia="Arial" w:hAnsi="Arial"/>
          <w:color w:val="000000"/>
          <w:sz w:val="20"/>
          <w:szCs w:val="20"/>
        </w:rPr>
        <w:t xml:space="preserve">Using company systems to mine cryptocurrency or perform non-business computations</w:t>
      </w:r>
    </w:p>
    <w:p>
      <w:pPr>
        <w:spacing w:after="60" w:before="200"/>
      </w:pPr>
      <w:r>
        <w:rPr>
          <w:rFonts w:ascii="Arial" w:cs="Arial" w:eastAsia="Arial" w:hAnsi="Arial"/>
          <w:b/>
          <w:bCs/>
          <w:color w:val="2E75B6"/>
          <w:sz w:val="22"/>
          <w:szCs w:val="22"/>
        </w:rPr>
        <w:t xml:space="preserve">5.3 Legal and Ethical Violations</w:t>
      </w:r>
    </w:p>
    <w:p>
      <w:pPr>
        <w:pStyle w:val="ListParagraph"/>
        <w:numPr>
          <w:ilvl w:val="0"/>
          <w:numId w:val="2"/>
        </w:numPr>
        <w:spacing w:after="30" w:before="30"/>
      </w:pPr>
      <w:r>
        <w:rPr>
          <w:rFonts w:ascii="Arial" w:cs="Arial" w:eastAsia="Arial" w:hAnsi="Arial"/>
          <w:color w:val="000000"/>
          <w:sz w:val="20"/>
          <w:szCs w:val="20"/>
        </w:rPr>
        <w:t xml:space="preserve">Accessing, downloading, or distributing illegal, offensive, or discriminatory content</w:t>
      </w:r>
    </w:p>
    <w:p>
      <w:pPr>
        <w:pStyle w:val="ListParagraph"/>
        <w:numPr>
          <w:ilvl w:val="0"/>
          <w:numId w:val="2"/>
        </w:numPr>
        <w:spacing w:after="30" w:before="30"/>
      </w:pPr>
      <w:r>
        <w:rPr>
          <w:rFonts w:ascii="Arial" w:cs="Arial" w:eastAsia="Arial" w:hAnsi="Arial"/>
          <w:color w:val="000000"/>
          <w:sz w:val="20"/>
          <w:szCs w:val="20"/>
        </w:rPr>
        <w:t xml:space="preserve">Engaging in harassment, bullying, or any form of unlawful conduct via company systems</w:t>
      </w:r>
    </w:p>
    <w:p>
      <w:pPr>
        <w:pStyle w:val="ListParagraph"/>
        <w:numPr>
          <w:ilvl w:val="0"/>
          <w:numId w:val="2"/>
        </w:numPr>
        <w:spacing w:after="30" w:before="30"/>
      </w:pPr>
      <w:r>
        <w:rPr>
          <w:rFonts w:ascii="Arial" w:cs="Arial" w:eastAsia="Arial" w:hAnsi="Arial"/>
          <w:color w:val="000000"/>
          <w:sz w:val="20"/>
          <w:szCs w:val="20"/>
        </w:rPr>
        <w:t xml:space="preserve">Violating intellectual property rights, including software licensing agreements</w:t>
      </w:r>
    </w:p>
    <w:p>
      <w:pPr>
        <w:pStyle w:val="ListParagraph"/>
        <w:numPr>
          <w:ilvl w:val="0"/>
          <w:numId w:val="2"/>
        </w:numPr>
        <w:spacing w:after="30" w:before="30"/>
      </w:pPr>
      <w:r>
        <w:rPr>
          <w:rFonts w:ascii="Arial" w:cs="Arial" w:eastAsia="Arial" w:hAnsi="Arial"/>
          <w:color w:val="000000"/>
          <w:sz w:val="20"/>
          <w:szCs w:val="20"/>
        </w:rPr>
        <w:t xml:space="preserve">Using company systems to conduct personal commercial activities or competing business</w:t>
      </w:r>
    </w:p>
    <w:p>
      <w:pPr>
        <w:pStyle w:val="ListParagraph"/>
        <w:numPr>
          <w:ilvl w:val="0"/>
          <w:numId w:val="2"/>
        </w:numPr>
        <w:spacing w:after="30" w:before="30"/>
      </w:pPr>
      <w:r>
        <w:rPr>
          <w:rFonts w:ascii="Arial" w:cs="Arial" w:eastAsia="Arial" w:hAnsi="Arial"/>
          <w:color w:val="000000"/>
          <w:sz w:val="20"/>
          <w:szCs w:val="20"/>
        </w:rPr>
        <w:t xml:space="preserve">Misrepresenting identity or impersonating another individual in any communication</w:t>
      </w:r>
    </w:p>
    <w:p>
      <w:pPr>
        <w:spacing w:after="60" w:before="200"/>
      </w:pPr>
      <w:r>
        <w:rPr>
          <w:rFonts w:ascii="Arial" w:cs="Arial" w:eastAsia="Arial" w:hAnsi="Arial"/>
          <w:b/>
          <w:bCs/>
          <w:color w:val="2E75B6"/>
          <w:sz w:val="22"/>
          <w:szCs w:val="22"/>
        </w:rPr>
        <w:t xml:space="preserve">5.4 Network and Communications</w:t>
      </w:r>
    </w:p>
    <w:p>
      <w:pPr>
        <w:pStyle w:val="ListParagraph"/>
        <w:numPr>
          <w:ilvl w:val="0"/>
          <w:numId w:val="2"/>
        </w:numPr>
        <w:spacing w:after="30" w:before="30"/>
      </w:pPr>
      <w:r>
        <w:rPr>
          <w:rFonts w:ascii="Arial" w:cs="Arial" w:eastAsia="Arial" w:hAnsi="Arial"/>
          <w:color w:val="000000"/>
          <w:sz w:val="20"/>
          <w:szCs w:val="20"/>
        </w:rPr>
        <w:t xml:space="preserve">Using the corporate network to launch attacks against internal or external systems</w:t>
      </w:r>
    </w:p>
    <w:p>
      <w:pPr>
        <w:pStyle w:val="ListParagraph"/>
        <w:numPr>
          <w:ilvl w:val="0"/>
          <w:numId w:val="2"/>
        </w:numPr>
        <w:spacing w:after="30" w:before="30"/>
      </w:pPr>
      <w:r>
        <w:rPr>
          <w:rFonts w:ascii="Arial" w:cs="Arial" w:eastAsia="Arial" w:hAnsi="Arial"/>
          <w:color w:val="000000"/>
          <w:sz w:val="20"/>
          <w:szCs w:val="20"/>
        </w:rPr>
        <w:t xml:space="preserve">Intercepting, monitoring, or recording network traffic without written authorisation</w:t>
      </w:r>
    </w:p>
    <w:p>
      <w:pPr>
        <w:pStyle w:val="ListParagraph"/>
        <w:numPr>
          <w:ilvl w:val="0"/>
          <w:numId w:val="2"/>
        </w:numPr>
        <w:spacing w:after="30" w:before="30"/>
      </w:pPr>
      <w:r>
        <w:rPr>
          <w:rFonts w:ascii="Arial" w:cs="Arial" w:eastAsia="Arial" w:hAnsi="Arial"/>
          <w:color w:val="000000"/>
          <w:sz w:val="20"/>
          <w:szCs w:val="20"/>
        </w:rPr>
        <w:t xml:space="preserve">Connecting unauthorised wireless access points or network equipment</w:t>
      </w:r>
    </w:p>
    <w:p>
      <w:pPr>
        <w:pStyle w:val="ListParagraph"/>
        <w:numPr>
          <w:ilvl w:val="0"/>
          <w:numId w:val="2"/>
        </w:numPr>
        <w:spacing w:after="30" w:before="30"/>
      </w:pPr>
      <w:r>
        <w:rPr>
          <w:rFonts w:ascii="Arial" w:cs="Arial" w:eastAsia="Arial" w:hAnsi="Arial"/>
          <w:color w:val="000000"/>
          <w:sz w:val="20"/>
          <w:szCs w:val="20"/>
        </w:rPr>
        <w:t xml:space="preserve">Using anonymisation tools, VPNs, or proxies to bypass corporate security controls without IT approval</w:t>
      </w:r>
    </w:p>
    <w:p>
      <w:pPr>
        <w:pBdr>
          <w:bottom w:val="single" w:color="1F3864" w:sz="8"/>
        </w:pBdr>
        <w:spacing w:after="80" w:before="280"/>
      </w:pPr>
      <w:r>
        <w:rPr>
          <w:rFonts w:ascii="Arial" w:cs="Arial" w:eastAsia="Arial" w:hAnsi="Arial"/>
          <w:b/>
          <w:bCs/>
          <w:color w:val="1F3864"/>
          <w:sz w:val="26"/>
          <w:szCs w:val="26"/>
        </w:rPr>
        <w:t xml:space="preserve">6. Password and Access Management</w:t>
      </w:r>
    </w:p>
    <w:p>
      <w:pPr>
        <w:spacing w:after="120" w:before="0"/>
        <w:jc w:val="both"/>
      </w:pPr>
      <w:r>
        <w:rPr>
          <w:rFonts w:ascii="Arial" w:cs="Arial" w:eastAsia="Arial" w:hAnsi="Arial"/>
          <w:color w:val="000000"/>
          <w:sz w:val="20"/>
          <w:szCs w:val="20"/>
        </w:rPr>
        <w:t xml:space="preserve">All users are responsible for maintaining the security of their access credentials. The following requirements apply:</w:t>
      </w:r>
    </w:p>
    <w:p>
      <w:pPr>
        <w:pStyle w:val="ListParagraph"/>
        <w:numPr>
          <w:ilvl w:val="0"/>
          <w:numId w:val="2"/>
        </w:numPr>
        <w:spacing w:after="30" w:before="30"/>
      </w:pPr>
      <w:r>
        <w:rPr>
          <w:rFonts w:ascii="Arial" w:cs="Arial" w:eastAsia="Arial" w:hAnsi="Arial"/>
          <w:color w:val="000000"/>
          <w:sz w:val="20"/>
          <w:szCs w:val="20"/>
        </w:rPr>
        <w:t xml:space="preserve">Passwords must be a minimum of 12 characters and include uppercase, lowercase, numbers, and special characters</w:t>
      </w:r>
    </w:p>
    <w:p>
      <w:pPr>
        <w:pStyle w:val="ListParagraph"/>
        <w:numPr>
          <w:ilvl w:val="0"/>
          <w:numId w:val="2"/>
        </w:numPr>
        <w:spacing w:after="30" w:before="30"/>
      </w:pPr>
      <w:r>
        <w:rPr>
          <w:rFonts w:ascii="Arial" w:cs="Arial" w:eastAsia="Arial" w:hAnsi="Arial"/>
          <w:color w:val="000000"/>
          <w:sz w:val="20"/>
          <w:szCs w:val="20"/>
        </w:rPr>
        <w:t xml:space="preserve">Passwords must not be shared, written down in accessible locations, or stored in unencrypted files</w:t>
      </w:r>
    </w:p>
    <w:p>
      <w:pPr>
        <w:pStyle w:val="ListParagraph"/>
        <w:numPr>
          <w:ilvl w:val="0"/>
          <w:numId w:val="2"/>
        </w:numPr>
        <w:spacing w:after="30" w:before="30"/>
      </w:pPr>
      <w:r>
        <w:rPr>
          <w:rFonts w:ascii="Arial" w:cs="Arial" w:eastAsia="Arial" w:hAnsi="Arial"/>
          <w:color w:val="000000"/>
          <w:sz w:val="20"/>
          <w:szCs w:val="20"/>
        </w:rPr>
        <w:t xml:space="preserve">Multi-factor authentication (MFA) is mandatory for all remote access and cloud application logins</w:t>
      </w:r>
    </w:p>
    <w:p>
      <w:pPr>
        <w:pStyle w:val="ListParagraph"/>
        <w:numPr>
          <w:ilvl w:val="0"/>
          <w:numId w:val="2"/>
        </w:numPr>
        <w:spacing w:after="30" w:before="30"/>
      </w:pPr>
      <w:r>
        <w:rPr>
          <w:rFonts w:ascii="Arial" w:cs="Arial" w:eastAsia="Arial" w:hAnsi="Arial"/>
          <w:color w:val="000000"/>
          <w:sz w:val="20"/>
          <w:szCs w:val="20"/>
        </w:rPr>
        <w:t xml:space="preserve">Users must lock their workstation (Windows + L) when leaving their desk unattended</w:t>
      </w:r>
    </w:p>
    <w:p>
      <w:pPr>
        <w:pStyle w:val="ListParagraph"/>
        <w:numPr>
          <w:ilvl w:val="0"/>
          <w:numId w:val="2"/>
        </w:numPr>
        <w:spacing w:after="30" w:before="30"/>
      </w:pPr>
      <w:r>
        <w:rPr>
          <w:rFonts w:ascii="Arial" w:cs="Arial" w:eastAsia="Arial" w:hAnsi="Arial"/>
          <w:color w:val="000000"/>
          <w:sz w:val="20"/>
          <w:szCs w:val="20"/>
        </w:rPr>
        <w:t xml:space="preserve">Access rights are assigned based on job function and the principle of least privilege</w:t>
      </w:r>
    </w:p>
    <w:p>
      <w:pPr>
        <w:pStyle w:val="ListParagraph"/>
        <w:numPr>
          <w:ilvl w:val="0"/>
          <w:numId w:val="2"/>
        </w:numPr>
        <w:spacing w:after="30" w:before="30"/>
      </w:pPr>
      <w:r>
        <w:rPr>
          <w:rFonts w:ascii="Arial" w:cs="Arial" w:eastAsia="Arial" w:hAnsi="Arial"/>
          <w:color w:val="000000"/>
          <w:sz w:val="20"/>
          <w:szCs w:val="20"/>
        </w:rPr>
        <w:t xml:space="preserve">Users who no longer require access to a system must notify IT immediately for access revocation</w:t>
      </w:r>
    </w:p>
    <w:p>
      <w:pPr>
        <w:pStyle w:val="ListParagraph"/>
        <w:numPr>
          <w:ilvl w:val="0"/>
          <w:numId w:val="2"/>
        </w:numPr>
        <w:spacing w:after="30" w:before="30"/>
      </w:pPr>
      <w:r>
        <w:rPr>
          <w:rFonts w:ascii="Arial" w:cs="Arial" w:eastAsia="Arial" w:hAnsi="Arial"/>
          <w:color w:val="000000"/>
          <w:sz w:val="20"/>
          <w:szCs w:val="20"/>
        </w:rPr>
        <w:t xml:space="preserve">Default vendor passwords must be changed before any device is connected to the corporate network</w:t>
      </w:r>
    </w:p>
    <w:p>
      <w:pPr>
        <w:pBdr>
          <w:bottom w:val="single" w:color="1F3864" w:sz="8"/>
        </w:pBdr>
        <w:spacing w:after="80" w:before="280"/>
      </w:pPr>
      <w:r>
        <w:rPr>
          <w:rFonts w:ascii="Arial" w:cs="Arial" w:eastAsia="Arial" w:hAnsi="Arial"/>
          <w:b/>
          <w:bCs/>
          <w:color w:val="1F3864"/>
          <w:sz w:val="26"/>
          <w:szCs w:val="26"/>
        </w:rPr>
        <w:t xml:space="preserve">7. Device and Mobile Device Use</w:t>
      </w:r>
    </w:p>
    <w:p>
      <w:pPr>
        <w:spacing w:after="120" w:before="0"/>
        <w:jc w:val="both"/>
      </w:pPr>
      <w:r>
        <w:rPr>
          <w:rFonts w:ascii="Arial" w:cs="Arial" w:eastAsia="Arial" w:hAnsi="Arial"/>
          <w:color w:val="000000"/>
          <w:sz w:val="20"/>
          <w:szCs w:val="20"/>
        </w:rPr>
        <w:t xml:space="preserve">All company-issued devices must be used in accordance with the following requirements:</w:t>
      </w:r>
    </w:p>
    <w:p>
      <w:pPr>
        <w:pStyle w:val="ListParagraph"/>
        <w:numPr>
          <w:ilvl w:val="0"/>
          <w:numId w:val="2"/>
        </w:numPr>
        <w:spacing w:after="30" w:before="30"/>
      </w:pPr>
      <w:r>
        <w:rPr>
          <w:rFonts w:ascii="Arial" w:cs="Arial" w:eastAsia="Arial" w:hAnsi="Arial"/>
          <w:color w:val="000000"/>
          <w:sz w:val="20"/>
          <w:szCs w:val="20"/>
        </w:rPr>
        <w:t xml:space="preserve">Devices must have full-disk encryption enabled at all times</w:t>
      </w:r>
    </w:p>
    <w:p>
      <w:pPr>
        <w:pStyle w:val="ListParagraph"/>
        <w:numPr>
          <w:ilvl w:val="0"/>
          <w:numId w:val="2"/>
        </w:numPr>
        <w:spacing w:after="30" w:before="30"/>
      </w:pPr>
      <w:r>
        <w:rPr>
          <w:rFonts w:ascii="Arial" w:cs="Arial" w:eastAsia="Arial" w:hAnsi="Arial"/>
          <w:color w:val="000000"/>
          <w:sz w:val="20"/>
          <w:szCs w:val="20"/>
        </w:rPr>
        <w:t xml:space="preserve">Automatic screen lock must activate after a maximum of 5 minutes of inactivity</w:t>
      </w:r>
    </w:p>
    <w:p>
      <w:pPr>
        <w:pStyle w:val="ListParagraph"/>
        <w:numPr>
          <w:ilvl w:val="0"/>
          <w:numId w:val="2"/>
        </w:numPr>
        <w:spacing w:after="30" w:before="30"/>
      </w:pPr>
      <w:r>
        <w:rPr>
          <w:rFonts w:ascii="Arial" w:cs="Arial" w:eastAsia="Arial" w:hAnsi="Arial"/>
          <w:color w:val="000000"/>
          <w:sz w:val="20"/>
          <w:szCs w:val="20"/>
        </w:rPr>
        <w:t xml:space="preserve">Operating system and application security updates must be applied within 14 days of release</w:t>
      </w:r>
    </w:p>
    <w:p>
      <w:pPr>
        <w:pStyle w:val="ListParagraph"/>
        <w:numPr>
          <w:ilvl w:val="0"/>
          <w:numId w:val="2"/>
        </w:numPr>
        <w:spacing w:after="30" w:before="30"/>
      </w:pPr>
      <w:r>
        <w:rPr>
          <w:rFonts w:ascii="Arial" w:cs="Arial" w:eastAsia="Arial" w:hAnsi="Arial"/>
          <w:color w:val="000000"/>
          <w:sz w:val="20"/>
          <w:szCs w:val="20"/>
        </w:rPr>
        <w:t xml:space="preserve">Lost or stolen devices must be reported to IT and management within 2 hours of discovery</w:t>
      </w:r>
    </w:p>
    <w:p>
      <w:pPr>
        <w:pStyle w:val="ListParagraph"/>
        <w:numPr>
          <w:ilvl w:val="0"/>
          <w:numId w:val="2"/>
        </w:numPr>
        <w:spacing w:after="30" w:before="30"/>
      </w:pPr>
      <w:r>
        <w:rPr>
          <w:rFonts w:ascii="Arial" w:cs="Arial" w:eastAsia="Arial" w:hAnsi="Arial"/>
          <w:color w:val="000000"/>
          <w:sz w:val="20"/>
          <w:szCs w:val="20"/>
        </w:rPr>
        <w:t xml:space="preserve">Personal mobile devices used for company business must be enrolled in the Mobile Device Management (MDM) system</w:t>
      </w:r>
    </w:p>
    <w:p>
      <w:pPr>
        <w:pStyle w:val="ListParagraph"/>
        <w:numPr>
          <w:ilvl w:val="0"/>
          <w:numId w:val="2"/>
        </w:numPr>
        <w:spacing w:after="30" w:before="30"/>
      </w:pPr>
      <w:r>
        <w:rPr>
          <w:rFonts w:ascii="Arial" w:cs="Arial" w:eastAsia="Arial" w:hAnsi="Arial"/>
          <w:color w:val="000000"/>
          <w:sz w:val="20"/>
          <w:szCs w:val="20"/>
        </w:rPr>
        <w:t xml:space="preserve">Company data must not be stored locally on mobile devices unless encrypted and authorised</w:t>
      </w:r>
    </w:p>
    <w:p>
      <w:pPr>
        <w:pStyle w:val="ListParagraph"/>
        <w:numPr>
          <w:ilvl w:val="0"/>
          <w:numId w:val="2"/>
        </w:numPr>
        <w:spacing w:after="30" w:before="30"/>
      </w:pPr>
      <w:r>
        <w:rPr>
          <w:rFonts w:ascii="Arial" w:cs="Arial" w:eastAsia="Arial" w:hAnsi="Arial"/>
          <w:color w:val="000000"/>
          <w:sz w:val="20"/>
          <w:szCs w:val="20"/>
        </w:rPr>
        <w:t xml:space="preserve">Devices used to access company systems in field operations across Switzerland must comply with the same security requirements as office-based devices</w:t>
      </w:r>
    </w:p>
    <w:p>
      <w:pPr>
        <w:pBdr>
          <w:bottom w:val="single" w:color="1F3864" w:sz="8"/>
        </w:pBdr>
        <w:spacing w:after="80" w:before="280"/>
      </w:pPr>
      <w:r>
        <w:rPr>
          <w:rFonts w:ascii="Arial" w:cs="Arial" w:eastAsia="Arial" w:hAnsi="Arial"/>
          <w:b/>
          <w:bCs/>
          <w:color w:val="1F3864"/>
          <w:sz w:val="26"/>
          <w:szCs w:val="26"/>
        </w:rPr>
        <w:t xml:space="preserve">8. Email and Communication Systems</w:t>
      </w:r>
    </w:p>
    <w:p>
      <w:pPr>
        <w:spacing w:after="120" w:before="0"/>
        <w:jc w:val="both"/>
      </w:pPr>
      <w:r>
        <w:rPr>
          <w:rFonts w:ascii="Arial" w:cs="Arial" w:eastAsia="Arial" w:hAnsi="Arial"/>
          <w:color w:val="000000"/>
          <w:sz w:val="20"/>
          <w:szCs w:val="20"/>
        </w:rPr>
        <w:t xml:space="preserve">Users must adhere to the following requirements when using company communication tools:</w:t>
      </w:r>
    </w:p>
    <w:p>
      <w:pPr>
        <w:pStyle w:val="ListParagraph"/>
        <w:numPr>
          <w:ilvl w:val="0"/>
          <w:numId w:val="2"/>
        </w:numPr>
        <w:spacing w:after="30" w:before="30"/>
      </w:pPr>
      <w:r>
        <w:rPr>
          <w:rFonts w:ascii="Arial" w:cs="Arial" w:eastAsia="Arial" w:hAnsi="Arial"/>
          <w:color w:val="000000"/>
          <w:sz w:val="20"/>
          <w:szCs w:val="20"/>
        </w:rPr>
        <w:t xml:space="preserve">Company email accounts must be used for all business communications; personal email accounts must not be used for company business</w:t>
      </w:r>
    </w:p>
    <w:p>
      <w:pPr>
        <w:pStyle w:val="ListParagraph"/>
        <w:numPr>
          <w:ilvl w:val="0"/>
          <w:numId w:val="2"/>
        </w:numPr>
        <w:spacing w:after="30" w:before="30"/>
      </w:pPr>
      <w:r>
        <w:rPr>
          <w:rFonts w:ascii="Arial" w:cs="Arial" w:eastAsia="Arial" w:hAnsi="Arial"/>
          <w:color w:val="000000"/>
          <w:sz w:val="20"/>
          <w:szCs w:val="20"/>
        </w:rPr>
        <w:t xml:space="preserve">Users must exercise caution with attachments and links received from unknown or unexpected sources</w:t>
      </w:r>
    </w:p>
    <w:p>
      <w:pPr>
        <w:pStyle w:val="ListParagraph"/>
        <w:numPr>
          <w:ilvl w:val="0"/>
          <w:numId w:val="2"/>
        </w:numPr>
        <w:spacing w:after="30" w:before="30"/>
      </w:pPr>
      <w:r>
        <w:rPr>
          <w:rFonts w:ascii="Arial" w:cs="Arial" w:eastAsia="Arial" w:hAnsi="Arial"/>
          <w:color w:val="000000"/>
          <w:sz w:val="20"/>
          <w:szCs w:val="20"/>
        </w:rPr>
        <w:t xml:space="preserve">Phishing or suspicious emails must be reported to IT immediately and must not be forwarded</w:t>
      </w:r>
    </w:p>
    <w:p>
      <w:pPr>
        <w:pStyle w:val="ListParagraph"/>
        <w:numPr>
          <w:ilvl w:val="0"/>
          <w:numId w:val="2"/>
        </w:numPr>
        <w:spacing w:after="30" w:before="30"/>
      </w:pPr>
      <w:r>
        <w:rPr>
          <w:rFonts w:ascii="Arial" w:cs="Arial" w:eastAsia="Arial" w:hAnsi="Arial"/>
          <w:color w:val="000000"/>
          <w:sz w:val="20"/>
          <w:szCs w:val="20"/>
        </w:rPr>
        <w:t xml:space="preserve">Bulk or mass communications on behalf of the company require approval from senior management</w:t>
      </w:r>
    </w:p>
    <w:p>
      <w:pPr>
        <w:pStyle w:val="ListParagraph"/>
        <w:numPr>
          <w:ilvl w:val="0"/>
          <w:numId w:val="2"/>
        </w:numPr>
        <w:spacing w:after="30" w:before="30"/>
      </w:pPr>
      <w:r>
        <w:rPr>
          <w:rFonts w:ascii="Arial" w:cs="Arial" w:eastAsia="Arial" w:hAnsi="Arial"/>
          <w:color w:val="000000"/>
          <w:sz w:val="20"/>
          <w:szCs w:val="20"/>
        </w:rPr>
        <w:t xml:space="preserve">Confidential or sensitive information must not be transmitted via unencrypted email</w:t>
      </w:r>
    </w:p>
    <w:p>
      <w:pPr>
        <w:pStyle w:val="ListParagraph"/>
        <w:numPr>
          <w:ilvl w:val="0"/>
          <w:numId w:val="2"/>
        </w:numPr>
        <w:spacing w:after="30" w:before="30"/>
      </w:pPr>
      <w:r>
        <w:rPr>
          <w:rFonts w:ascii="Arial" w:cs="Arial" w:eastAsia="Arial" w:hAnsi="Arial"/>
          <w:color w:val="000000"/>
          <w:sz w:val="20"/>
          <w:szCs w:val="20"/>
        </w:rPr>
        <w:t xml:space="preserve">Auto-forwarding of company email to personal accounts is prohibited</w:t>
      </w:r>
    </w:p>
    <w:p>
      <w:pPr>
        <w:pBdr>
          <w:bottom w:val="single" w:color="1F3864" w:sz="8"/>
        </w:pBdr>
        <w:spacing w:after="80" w:before="280"/>
      </w:pPr>
      <w:r>
        <w:rPr>
          <w:rFonts w:ascii="Arial" w:cs="Arial" w:eastAsia="Arial" w:hAnsi="Arial"/>
          <w:b/>
          <w:bCs/>
          <w:color w:val="1F3864"/>
          <w:sz w:val="26"/>
          <w:szCs w:val="26"/>
        </w:rPr>
        <w:t xml:space="preserve">9. Data Handling and Classification</w:t>
      </w:r>
    </w:p>
    <w:p>
      <w:pPr>
        <w:spacing w:after="60" w:before="200"/>
      </w:pPr>
      <w:r>
        <w:rPr>
          <w:rFonts w:ascii="Arial" w:cs="Arial" w:eastAsia="Arial" w:hAnsi="Arial"/>
          <w:b/>
          <w:bCs/>
          <w:color w:val="2E75B6"/>
          <w:sz w:val="22"/>
          <w:szCs w:val="22"/>
        </w:rPr>
        <w:t xml:space="preserve">9.1 Data Classification</w:t>
      </w:r>
    </w:p>
    <w:p>
      <w:pPr>
        <w:spacing w:after="120" w:before="0"/>
        <w:jc w:val="both"/>
      </w:pPr>
      <w:r>
        <w:rPr>
          <w:rFonts w:ascii="Arial" w:cs="Arial" w:eastAsia="Arial" w:hAnsi="Arial"/>
          <w:color w:val="000000"/>
          <w:sz w:val="20"/>
          <w:szCs w:val="20"/>
        </w:rPr>
        <w:t xml:space="preserve">Kontrucktors SA classifies its information into the following categories: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c>
          <w:tcPr>
            <w:tcW w:type="dxa" w:w="2200"/>
            <w:tcBorders>
              <w:top w:val="single" w:color="1F3864" w:sz="4"/>
              <w:left w:val="single" w:color="1F3864" w:sz="4"/>
              <w:bottom w:val="single" w:color="1F3864" w:sz="4"/>
              <w:right w:val="single" w:color="1F3864" w:sz="4"/>
            </w:tcBorders>
            <w:shd w:color="1F3864" w:val="clear"/>
            <w:tcMar>
              <w:top w:type="dxa" w:w="80"/>
              <w:left w:type="dxa" w:w="120"/>
              <w:bottom w:type="dxa" w:w="80"/>
              <w:right w:type="dxa" w:w="120"/>
            </w:tcMar>
          </w:tcPr>
          <w:p>
            <w:r>
              <w:rPr>
                <w:rFonts w:ascii="Arial" w:cs="Arial" w:eastAsia="Arial" w:hAnsi="Arial"/>
                <w:b/>
                <w:bCs/>
                <w:color w:val="FFFFFF"/>
                <w:sz w:val="19"/>
                <w:szCs w:val="19"/>
              </w:rPr>
              <w:t xml:space="preserve">Classification</w:t>
            </w:r>
          </w:p>
        </w:tc>
        <w:tc>
          <w:tcPr>
            <w:tcW w:type="dxa" w:w="3000"/>
            <w:tcBorders>
              <w:top w:val="single" w:color="1F3864" w:sz="4"/>
              <w:left w:val="single" w:color="1F3864" w:sz="4"/>
              <w:bottom w:val="single" w:color="1F3864" w:sz="4"/>
              <w:right w:val="single" w:color="1F3864" w:sz="4"/>
            </w:tcBorders>
            <w:shd w:color="1F3864"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3826"/>
            <w:tcBorders>
              <w:top w:val="single" w:color="1F3864" w:sz="4"/>
              <w:left w:val="single" w:color="1F3864" w:sz="4"/>
              <w:bottom w:val="single" w:color="1F3864" w:sz="4"/>
              <w:right w:val="single" w:color="1F3864" w:sz="4"/>
            </w:tcBorders>
            <w:shd w:color="1F3864" w:val="clear"/>
            <w:tcMar>
              <w:top w:type="dxa" w:w="80"/>
              <w:left w:type="dxa" w:w="120"/>
              <w:bottom w:type="dxa" w:w="80"/>
              <w:right w:type="dxa" w:w="120"/>
            </w:tcMar>
          </w:tcPr>
          <w:p>
            <w:r>
              <w:rPr>
                <w:rFonts w:ascii="Arial" w:cs="Arial" w:eastAsia="Arial" w:hAnsi="Arial"/>
                <w:b/>
                <w:bCs/>
                <w:color w:val="FFFFFF"/>
                <w:sz w:val="19"/>
                <w:szCs w:val="19"/>
              </w:rPr>
              <w:t xml:space="preserve">Examples</w:t>
            </w:r>
          </w:p>
        </w:tc>
      </w:tr>
      <w:tr>
        <w:tc>
          <w:tcPr>
            <w:tcW w:type="dxa" w:w="2200"/>
            <w:tcBorders>
              <w:top w:val="single" w:color="CCCCCC" w:sz="4"/>
              <w:left w:val="single" w:color="CCCCCC" w:sz="4"/>
              <w:bottom w:val="single" w:color="CCCCCC" w:sz="4"/>
              <w:right w:val="single" w:color="CCCCCC" w:sz="4"/>
            </w:tcBorders>
            <w:shd w:color="FFFFFF" w:val="clear"/>
            <w:tcMar>
              <w:top w:type="dxa" w:w="80"/>
              <w:left w:type="dxa" w:w="120"/>
              <w:bottom w:type="dxa" w:w="80"/>
              <w:right w:type="dxa" w:w="120"/>
            </w:tcMar>
          </w:tcPr>
          <w:p>
            <w:r>
              <w:rPr>
                <w:rFonts w:ascii="Arial" w:cs="Arial" w:eastAsia="Arial" w:hAnsi="Arial"/>
                <w:sz w:val="19"/>
                <w:szCs w:val="19"/>
              </w:rPr>
              <w:t xml:space="preserve">Public</w:t>
            </w:r>
          </w:p>
        </w:tc>
        <w:tc>
          <w:tcPr>
            <w:tcW w:type="dxa" w:w="3000"/>
            <w:tcBorders>
              <w:top w:val="single" w:color="CCCCCC" w:sz="4"/>
              <w:left w:val="single" w:color="CCCCCC" w:sz="4"/>
              <w:bottom w:val="single" w:color="CCCCCC" w:sz="4"/>
              <w:right w:val="single" w:color="CCCCCC" w:sz="4"/>
            </w:tcBorders>
            <w:shd w:color="FFFFFF" w:val="clear"/>
            <w:tcMar>
              <w:top w:type="dxa" w:w="80"/>
              <w:left w:type="dxa" w:w="120"/>
              <w:bottom w:type="dxa" w:w="80"/>
              <w:right w:type="dxa" w:w="120"/>
            </w:tcMar>
          </w:tcPr>
          <w:p>
            <w:r>
              <w:rPr>
                <w:rFonts w:ascii="Arial" w:cs="Arial" w:eastAsia="Arial" w:hAnsi="Arial"/>
                <w:sz w:val="19"/>
                <w:szCs w:val="19"/>
              </w:rPr>
              <w:t xml:space="preserve">Approved for external distribution</w:t>
            </w:r>
          </w:p>
        </w:tc>
        <w:tc>
          <w:tcPr>
            <w:tcW w:type="dxa" w:w="3826"/>
            <w:tcBorders>
              <w:top w:val="single" w:color="CCCCCC" w:sz="4"/>
              <w:left w:val="single" w:color="CCCCCC" w:sz="4"/>
              <w:bottom w:val="single" w:color="CCCCCC" w:sz="4"/>
              <w:right w:val="single" w:color="CCCCCC" w:sz="4"/>
            </w:tcBorders>
            <w:shd w:color="FFFFFF" w:val="clear"/>
            <w:tcMar>
              <w:top w:type="dxa" w:w="80"/>
              <w:left w:type="dxa" w:w="120"/>
              <w:bottom w:type="dxa" w:w="80"/>
              <w:right w:type="dxa" w:w="120"/>
            </w:tcMar>
          </w:tcPr>
          <w:p>
            <w:r>
              <w:rPr>
                <w:rFonts w:ascii="Arial" w:cs="Arial" w:eastAsia="Arial" w:hAnsi="Arial"/>
                <w:sz w:val="19"/>
                <w:szCs w:val="19"/>
              </w:rPr>
              <w:t xml:space="preserve">Marketing materials, product catalogues, website content</w:t>
            </w:r>
          </w:p>
        </w:tc>
      </w:tr>
      <w:tr>
        <w:tc>
          <w:tcPr>
            <w:tcW w:type="dxa" w:w="2200"/>
            <w:tcBorders>
              <w:top w:val="single" w:color="CCCCCC" w:sz="4"/>
              <w:left w:val="single" w:color="CCCCCC" w:sz="4"/>
              <w:bottom w:val="single" w:color="CCCCCC" w:sz="4"/>
              <w:right w:val="single" w:color="CCCCCC" w:sz="4"/>
            </w:tcBorders>
            <w:shd w:color="EBF3FB" w:val="clear"/>
            <w:tcMar>
              <w:top w:type="dxa" w:w="80"/>
              <w:left w:type="dxa" w:w="120"/>
              <w:bottom w:type="dxa" w:w="80"/>
              <w:right w:type="dxa" w:w="120"/>
            </w:tcMar>
          </w:tcPr>
          <w:p>
            <w:r>
              <w:rPr>
                <w:rFonts w:ascii="Arial" w:cs="Arial" w:eastAsia="Arial" w:hAnsi="Arial"/>
                <w:sz w:val="19"/>
                <w:szCs w:val="19"/>
              </w:rPr>
              <w:t xml:space="preserve">Internal</w:t>
            </w:r>
          </w:p>
        </w:tc>
        <w:tc>
          <w:tcPr>
            <w:tcW w:type="dxa" w:w="3000"/>
            <w:tcBorders>
              <w:top w:val="single" w:color="CCCCCC" w:sz="4"/>
              <w:left w:val="single" w:color="CCCCCC" w:sz="4"/>
              <w:bottom w:val="single" w:color="CCCCCC" w:sz="4"/>
              <w:right w:val="single" w:color="CCCCCC" w:sz="4"/>
            </w:tcBorders>
            <w:shd w:color="EBF3FB" w:val="clear"/>
            <w:tcMar>
              <w:top w:type="dxa" w:w="80"/>
              <w:left w:type="dxa" w:w="120"/>
              <w:bottom w:type="dxa" w:w="80"/>
              <w:right w:type="dxa" w:w="120"/>
            </w:tcMar>
          </w:tcPr>
          <w:p>
            <w:r>
              <w:rPr>
                <w:rFonts w:ascii="Arial" w:cs="Arial" w:eastAsia="Arial" w:hAnsi="Arial"/>
                <w:sz w:val="19"/>
                <w:szCs w:val="19"/>
              </w:rPr>
              <w:t xml:space="preserve">For internal use only; not for external disclosure</w:t>
            </w:r>
          </w:p>
        </w:tc>
        <w:tc>
          <w:tcPr>
            <w:tcW w:type="dxa" w:w="3826"/>
            <w:tcBorders>
              <w:top w:val="single" w:color="CCCCCC" w:sz="4"/>
              <w:left w:val="single" w:color="CCCCCC" w:sz="4"/>
              <w:bottom w:val="single" w:color="CCCCCC" w:sz="4"/>
              <w:right w:val="single" w:color="CCCCCC" w:sz="4"/>
            </w:tcBorders>
            <w:shd w:color="EBF3FB" w:val="clear"/>
            <w:tcMar>
              <w:top w:type="dxa" w:w="80"/>
              <w:left w:type="dxa" w:w="120"/>
              <w:bottom w:type="dxa" w:w="80"/>
              <w:right w:type="dxa" w:w="120"/>
            </w:tcMar>
          </w:tcPr>
          <w:p>
            <w:r>
              <w:rPr>
                <w:rFonts w:ascii="Arial" w:cs="Arial" w:eastAsia="Arial" w:hAnsi="Arial"/>
                <w:sz w:val="19"/>
                <w:szCs w:val="19"/>
              </w:rPr>
              <w:t xml:space="preserve">Fleet schedules, internal procedures, staff directories</w:t>
            </w:r>
          </w:p>
        </w:tc>
      </w:tr>
      <w:tr>
        <w:tc>
          <w:tcPr>
            <w:tcW w:type="dxa" w:w="2200"/>
            <w:tcBorders>
              <w:top w:val="single" w:color="CCCCCC" w:sz="4"/>
              <w:left w:val="single" w:color="CCCCCC" w:sz="4"/>
              <w:bottom w:val="single" w:color="CCCCCC" w:sz="4"/>
              <w:right w:val="single" w:color="CCCCCC" w:sz="4"/>
            </w:tcBorders>
            <w:shd w:color="FFFFFF" w:val="clear"/>
            <w:tcMar>
              <w:top w:type="dxa" w:w="80"/>
              <w:left w:type="dxa" w:w="120"/>
              <w:bottom w:type="dxa" w:w="80"/>
              <w:right w:type="dxa" w:w="120"/>
            </w:tcMar>
          </w:tcPr>
          <w:p>
            <w:r>
              <w:rPr>
                <w:rFonts w:ascii="Arial" w:cs="Arial" w:eastAsia="Arial" w:hAnsi="Arial"/>
                <w:sz w:val="19"/>
                <w:szCs w:val="19"/>
              </w:rPr>
              <w:t xml:space="preserve">Confidential</w:t>
            </w:r>
          </w:p>
        </w:tc>
        <w:tc>
          <w:tcPr>
            <w:tcW w:type="dxa" w:w="3000"/>
            <w:tcBorders>
              <w:top w:val="single" w:color="CCCCCC" w:sz="4"/>
              <w:left w:val="single" w:color="CCCCCC" w:sz="4"/>
              <w:bottom w:val="single" w:color="CCCCCC" w:sz="4"/>
              <w:right w:val="single" w:color="CCCCCC" w:sz="4"/>
            </w:tcBorders>
            <w:shd w:color="FFFFFF" w:val="clear"/>
            <w:tcMar>
              <w:top w:type="dxa" w:w="80"/>
              <w:left w:type="dxa" w:w="120"/>
              <w:bottom w:type="dxa" w:w="80"/>
              <w:right w:type="dxa" w:w="120"/>
            </w:tcMar>
          </w:tcPr>
          <w:p>
            <w:r>
              <w:rPr>
                <w:rFonts w:ascii="Arial" w:cs="Arial" w:eastAsia="Arial" w:hAnsi="Arial"/>
                <w:sz w:val="19"/>
                <w:szCs w:val="19"/>
              </w:rPr>
              <w:t xml:space="preserve">Restricted to authorised personnel; requires protective controls</w:t>
            </w:r>
          </w:p>
        </w:tc>
        <w:tc>
          <w:tcPr>
            <w:tcW w:type="dxa" w:w="3826"/>
            <w:tcBorders>
              <w:top w:val="single" w:color="CCCCCC" w:sz="4"/>
              <w:left w:val="single" w:color="CCCCCC" w:sz="4"/>
              <w:bottom w:val="single" w:color="CCCCCC" w:sz="4"/>
              <w:right w:val="single" w:color="CCCCCC" w:sz="4"/>
            </w:tcBorders>
            <w:shd w:color="FFFFFF" w:val="clear"/>
            <w:tcMar>
              <w:top w:type="dxa" w:w="80"/>
              <w:left w:type="dxa" w:w="120"/>
              <w:bottom w:type="dxa" w:w="80"/>
              <w:right w:type="dxa" w:w="120"/>
            </w:tcMar>
          </w:tcPr>
          <w:p>
            <w:r>
              <w:rPr>
                <w:rFonts w:ascii="Arial" w:cs="Arial" w:eastAsia="Arial" w:hAnsi="Arial"/>
                <w:sz w:val="19"/>
                <w:szCs w:val="19"/>
              </w:rPr>
              <w:t xml:space="preserve">Customer contracts, pricing, financial records, HR data</w:t>
            </w:r>
          </w:p>
        </w:tc>
      </w:tr>
      <w:tr>
        <w:tc>
          <w:tcPr>
            <w:tcW w:type="dxa" w:w="2200"/>
            <w:tcBorders>
              <w:top w:val="single" w:color="CCCCCC" w:sz="4"/>
              <w:left w:val="single" w:color="CCCCCC" w:sz="4"/>
              <w:bottom w:val="single" w:color="CCCCCC" w:sz="4"/>
              <w:right w:val="single" w:color="CCCCCC" w:sz="4"/>
            </w:tcBorders>
            <w:shd w:color="EBF3FB" w:val="clear"/>
            <w:tcMar>
              <w:top w:type="dxa" w:w="80"/>
              <w:left w:type="dxa" w:w="120"/>
              <w:bottom w:type="dxa" w:w="80"/>
              <w:right w:type="dxa" w:w="120"/>
            </w:tcMar>
          </w:tcPr>
          <w:p>
            <w:r>
              <w:rPr>
                <w:rFonts w:ascii="Arial" w:cs="Arial" w:eastAsia="Arial" w:hAnsi="Arial"/>
                <w:sz w:val="19"/>
                <w:szCs w:val="19"/>
              </w:rPr>
              <w:t xml:space="preserve">Restricted</w:t>
            </w:r>
          </w:p>
        </w:tc>
        <w:tc>
          <w:tcPr>
            <w:tcW w:type="dxa" w:w="3000"/>
            <w:tcBorders>
              <w:top w:val="single" w:color="CCCCCC" w:sz="4"/>
              <w:left w:val="single" w:color="CCCCCC" w:sz="4"/>
              <w:bottom w:val="single" w:color="CCCCCC" w:sz="4"/>
              <w:right w:val="single" w:color="CCCCCC" w:sz="4"/>
            </w:tcBorders>
            <w:shd w:color="EBF3FB" w:val="clear"/>
            <w:tcMar>
              <w:top w:type="dxa" w:w="80"/>
              <w:left w:type="dxa" w:w="120"/>
              <w:bottom w:type="dxa" w:w="80"/>
              <w:right w:type="dxa" w:w="120"/>
            </w:tcMar>
          </w:tcPr>
          <w:p>
            <w:r>
              <w:rPr>
                <w:rFonts w:ascii="Arial" w:cs="Arial" w:eastAsia="Arial" w:hAnsi="Arial"/>
                <w:sz w:val="19"/>
                <w:szCs w:val="19"/>
              </w:rPr>
              <w:t xml:space="preserve">Highest sensitivity; access on strict need-to-know basis only</w:t>
            </w:r>
          </w:p>
        </w:tc>
        <w:tc>
          <w:tcPr>
            <w:tcW w:type="dxa" w:w="3826"/>
            <w:tcBorders>
              <w:top w:val="single" w:color="CCCCCC" w:sz="4"/>
              <w:left w:val="single" w:color="CCCCCC" w:sz="4"/>
              <w:bottom w:val="single" w:color="CCCCCC" w:sz="4"/>
              <w:right w:val="single" w:color="CCCCCC" w:sz="4"/>
            </w:tcBorders>
            <w:shd w:color="EBF3FB" w:val="clear"/>
            <w:tcMar>
              <w:top w:type="dxa" w:w="80"/>
              <w:left w:type="dxa" w:w="120"/>
              <w:bottom w:type="dxa" w:w="80"/>
              <w:right w:type="dxa" w:w="120"/>
            </w:tcMar>
          </w:tcPr>
          <w:p>
            <w:r>
              <w:rPr>
                <w:rFonts w:ascii="Arial" w:cs="Arial" w:eastAsia="Arial" w:hAnsi="Arial"/>
                <w:sz w:val="19"/>
                <w:szCs w:val="19"/>
              </w:rPr>
              <w:t xml:space="preserve">Trade secrets, acquisition plans, legal strategy, executive credentials</w:t>
            </w:r>
          </w:p>
        </w:tc>
      </w:tr>
    </w:tbl>
    <w:p>
      <w:pPr>
        <w:pBdr>
          <w:bottom w:val="single" w:color="1F3864" w:sz="8"/>
        </w:pBdr>
        <w:spacing w:after="80" w:before="280"/>
      </w:pPr>
      <w:r>
        <w:rPr>
          <w:rFonts w:ascii="Arial" w:cs="Arial" w:eastAsia="Arial" w:hAnsi="Arial"/>
          <w:b/>
          <w:bCs/>
          <w:color w:val="1F3864"/>
          <w:sz w:val="26"/>
          <w:szCs w:val="26"/>
        </w:rPr>
        <w:t xml:space="preserve">10. Security Incident Reporting</w:t>
      </w:r>
    </w:p>
    <w:p>
      <w:pPr>
        <w:spacing w:after="120" w:before="0"/>
        <w:jc w:val="both"/>
      </w:pPr>
      <w:r>
        <w:rPr>
          <w:rFonts w:ascii="Arial" w:cs="Arial" w:eastAsia="Arial" w:hAnsi="Arial"/>
          <w:color w:val="000000"/>
          <w:sz w:val="20"/>
          <w:szCs w:val="20"/>
        </w:rPr>
        <w:t xml:space="preserve">All users are required to report suspected or confirmed security incidents immediately. A security incident includes, but is not limited to: unauthorised access to systems or data, lost or stolen devices, malware or ransomware infection, phishing attacks that were clicked or responded to, and data breaches or unintended disclosures of confidential information.</w:t>
      </w:r>
    </w:p>
    <w:p>
      <w:pPr>
        <w:spacing w:after="120" w:before="0"/>
        <w:jc w:val="both"/>
      </w:pPr>
      <w:r>
        <w:rPr>
          <w:rFonts w:ascii="Arial" w:cs="Arial" w:eastAsia="Arial" w:hAnsi="Arial"/>
          <w:color w:val="000000"/>
          <w:sz w:val="20"/>
          <w:szCs w:val="20"/>
        </w:rPr>
        <w:t xml:space="preserve">Incidents must be reported to the IT department or the Information Security Manager by telephone or email immediately upon discovery. Users must not attempt to investigate, remediate, or cover up a security incident independently. Failure to report a known security incident is a disciplinary offence.</w:t>
      </w:r>
    </w:p>
    <w:p>
      <w:pPr>
        <w:spacing w:after="60" w:before="200"/>
      </w:pPr>
      <w:r>
        <w:rPr>
          <w:rFonts w:ascii="Arial" w:cs="Arial" w:eastAsia="Arial" w:hAnsi="Arial"/>
          <w:b/>
          <w:bCs/>
          <w:color w:val="2E75B6"/>
          <w:sz w:val="22"/>
          <w:szCs w:val="22"/>
        </w:rPr>
        <w:t xml:space="preserve">10.1 Reporting Contacts</w:t>
      </w:r>
    </w:p>
    <w:p>
      <w:pPr>
        <w:pStyle w:val="ListParagraph"/>
        <w:numPr>
          <w:ilvl w:val="0"/>
          <w:numId w:val="2"/>
        </w:numPr>
        <w:spacing w:after="30" w:before="30"/>
      </w:pPr>
      <w:r>
        <w:rPr>
          <w:rFonts w:ascii="Arial" w:cs="Arial" w:eastAsia="Arial" w:hAnsi="Arial"/>
          <w:color w:val="000000"/>
          <w:sz w:val="20"/>
          <w:szCs w:val="20"/>
        </w:rPr>
        <w:t xml:space="preserve">IT Support: it@kontrucktors.ch  |  +41 21 000 0001</w:t>
      </w:r>
    </w:p>
    <w:p>
      <w:pPr>
        <w:pStyle w:val="ListParagraph"/>
        <w:numPr>
          <w:ilvl w:val="0"/>
          <w:numId w:val="2"/>
        </w:numPr>
        <w:spacing w:after="30" w:before="30"/>
      </w:pPr>
      <w:r>
        <w:rPr>
          <w:rFonts w:ascii="Arial" w:cs="Arial" w:eastAsia="Arial" w:hAnsi="Arial"/>
          <w:color w:val="000000"/>
          <w:sz w:val="20"/>
          <w:szCs w:val="20"/>
        </w:rPr>
        <w:t xml:space="preserve">Information Security Manager: security@kontrucktors.ch</w:t>
      </w:r>
    </w:p>
    <w:p>
      <w:pPr>
        <w:pStyle w:val="ListParagraph"/>
        <w:numPr>
          <w:ilvl w:val="0"/>
          <w:numId w:val="2"/>
        </w:numPr>
        <w:spacing w:after="30" w:before="30"/>
      </w:pPr>
      <w:r>
        <w:rPr>
          <w:rFonts w:ascii="Arial" w:cs="Arial" w:eastAsia="Arial" w:hAnsi="Arial"/>
          <w:color w:val="000000"/>
          <w:sz w:val="20"/>
          <w:szCs w:val="20"/>
        </w:rPr>
        <w:t xml:space="preserve">Emergency (out of hours): +41 21 000 0002</w:t>
      </w:r>
    </w:p>
    <w:p>
      <w:pPr>
        <w:pBdr>
          <w:bottom w:val="single" w:color="1F3864" w:sz="8"/>
        </w:pBdr>
        <w:spacing w:after="80" w:before="280"/>
      </w:pPr>
      <w:r>
        <w:rPr>
          <w:rFonts w:ascii="Arial" w:cs="Arial" w:eastAsia="Arial" w:hAnsi="Arial"/>
          <w:b/>
          <w:bCs/>
          <w:color w:val="1F3864"/>
          <w:sz w:val="26"/>
          <w:szCs w:val="26"/>
        </w:rPr>
        <w:t xml:space="preserve">11. Monitoring and Audit</w:t>
      </w:r>
    </w:p>
    <w:p>
      <w:pPr>
        <w:spacing w:after="120" w:before="0"/>
        <w:jc w:val="both"/>
      </w:pPr>
      <w:r>
        <w:rPr>
          <w:rFonts w:ascii="Arial" w:cs="Arial" w:eastAsia="Arial" w:hAnsi="Arial"/>
          <w:color w:val="000000"/>
          <w:sz w:val="20"/>
          <w:szCs w:val="20"/>
        </w:rPr>
        <w:t xml:space="preserve">Kontrucktors SA reserves the right to monitor, log, and audit the use of all company information systems in accordance with applicable Swiss law and the Federal Act on Data Protection (FADP). Monitoring activities may include network traffic analysis, email and web access logging, device activity logs, and access control reviews.</w:t>
      </w:r>
    </w:p>
    <w:p>
      <w:pPr>
        <w:spacing w:after="120" w:before="0"/>
        <w:jc w:val="both"/>
      </w:pPr>
      <w:r>
        <w:rPr>
          <w:rFonts w:ascii="Arial" w:cs="Arial" w:eastAsia="Arial" w:hAnsi="Arial"/>
          <w:color w:val="000000"/>
          <w:sz w:val="20"/>
          <w:szCs w:val="20"/>
        </w:rPr>
        <w:t xml:space="preserve">Users are advised that they have no expectation of privacy when using company-owned systems or networks. Monitoring is conducted for security, compliance, and operational purposes only. Any evidence of policy violations identified through monitoring may be used in disciplinary proceedings.</w:t>
      </w:r>
    </w:p>
    <w:p>
      <w:pPr>
        <w:pBdr>
          <w:bottom w:val="single" w:color="1F3864" w:sz="8"/>
        </w:pBdr>
        <w:spacing w:after="80" w:before="280"/>
      </w:pPr>
      <w:r>
        <w:rPr>
          <w:rFonts w:ascii="Arial" w:cs="Arial" w:eastAsia="Arial" w:hAnsi="Arial"/>
          <w:b/>
          <w:bCs/>
          <w:color w:val="1F3864"/>
          <w:sz w:val="26"/>
          <w:szCs w:val="26"/>
        </w:rPr>
        <w:t xml:space="preserve">12. Policy Violations and Consequences</w:t>
      </w:r>
    </w:p>
    <w:p>
      <w:pPr>
        <w:spacing w:after="120" w:before="0"/>
        <w:jc w:val="both"/>
      </w:pPr>
      <w:r>
        <w:rPr>
          <w:rFonts w:ascii="Arial" w:cs="Arial" w:eastAsia="Arial" w:hAnsi="Arial"/>
          <w:color w:val="000000"/>
          <w:sz w:val="20"/>
          <w:szCs w:val="20"/>
        </w:rPr>
        <w:t xml:space="preserve">Violations of this policy may result in one or more of the following actions, depending on the severity and intent of the violation:</w:t>
      </w:r>
    </w:p>
    <w:p>
      <w:pPr>
        <w:pStyle w:val="ListParagraph"/>
        <w:numPr>
          <w:ilvl w:val="0"/>
          <w:numId w:val="2"/>
        </w:numPr>
        <w:spacing w:after="30" w:before="30"/>
      </w:pPr>
      <w:r>
        <w:rPr>
          <w:rFonts w:ascii="Arial" w:cs="Arial" w:eastAsia="Arial" w:hAnsi="Arial"/>
          <w:color w:val="000000"/>
          <w:sz w:val="20"/>
          <w:szCs w:val="20"/>
        </w:rPr>
        <w:t xml:space="preserve">Verbal or written warning</w:t>
      </w:r>
    </w:p>
    <w:p>
      <w:pPr>
        <w:pStyle w:val="ListParagraph"/>
        <w:numPr>
          <w:ilvl w:val="0"/>
          <w:numId w:val="2"/>
        </w:numPr>
        <w:spacing w:after="30" w:before="30"/>
      </w:pPr>
      <w:r>
        <w:rPr>
          <w:rFonts w:ascii="Arial" w:cs="Arial" w:eastAsia="Arial" w:hAnsi="Arial"/>
          <w:color w:val="000000"/>
          <w:sz w:val="20"/>
          <w:szCs w:val="20"/>
        </w:rPr>
        <w:t xml:space="preserve">Suspension or revocation of system access</w:t>
      </w:r>
    </w:p>
    <w:p>
      <w:pPr>
        <w:pStyle w:val="ListParagraph"/>
        <w:numPr>
          <w:ilvl w:val="0"/>
          <w:numId w:val="2"/>
        </w:numPr>
        <w:spacing w:after="30" w:before="30"/>
      </w:pPr>
      <w:r>
        <w:rPr>
          <w:rFonts w:ascii="Arial" w:cs="Arial" w:eastAsia="Arial" w:hAnsi="Arial"/>
          <w:color w:val="000000"/>
          <w:sz w:val="20"/>
          <w:szCs w:val="20"/>
        </w:rPr>
        <w:t xml:space="preserve">Disciplinary action up to and including termination of employment or contract</w:t>
      </w:r>
    </w:p>
    <w:p>
      <w:pPr>
        <w:pStyle w:val="ListParagraph"/>
        <w:numPr>
          <w:ilvl w:val="0"/>
          <w:numId w:val="2"/>
        </w:numPr>
        <w:spacing w:after="30" w:before="30"/>
      </w:pPr>
      <w:r>
        <w:rPr>
          <w:rFonts w:ascii="Arial" w:cs="Arial" w:eastAsia="Arial" w:hAnsi="Arial"/>
          <w:color w:val="000000"/>
          <w:sz w:val="20"/>
          <w:szCs w:val="20"/>
        </w:rPr>
        <w:t xml:space="preserve">Civil or criminal referral to the appropriate Swiss authorities</w:t>
      </w:r>
    </w:p>
    <w:p>
      <w:pPr>
        <w:pStyle w:val="ListParagraph"/>
        <w:numPr>
          <w:ilvl w:val="0"/>
          <w:numId w:val="2"/>
        </w:numPr>
        <w:spacing w:after="30" w:before="30"/>
      </w:pPr>
      <w:r>
        <w:rPr>
          <w:rFonts w:ascii="Arial" w:cs="Arial" w:eastAsia="Arial" w:hAnsi="Arial"/>
          <w:color w:val="000000"/>
          <w:sz w:val="20"/>
          <w:szCs w:val="20"/>
        </w:rPr>
        <w:t xml:space="preserve">Recovery of costs arising from the violation</w:t>
      </w:r>
    </w:p>
    <w:p>
      <w:pPr>
        <w:spacing w:after="120" w:before="0"/>
      </w:pPr>
    </w:p>
    <w:p>
      <w:pPr>
        <w:spacing w:after="120" w:before="0"/>
        <w:jc w:val="both"/>
      </w:pPr>
      <w:r>
        <w:rPr>
          <w:rFonts w:ascii="Arial" w:cs="Arial" w:eastAsia="Arial" w:hAnsi="Arial"/>
          <w:color w:val="000000"/>
          <w:sz w:val="20"/>
          <w:szCs w:val="20"/>
        </w:rPr>
        <w:t xml:space="preserve">Kontrucktors SA will investigate all reported policy violations promptly and fairly. Users who report violations in good faith are protected from retaliation.</w:t>
      </w:r>
    </w:p>
    <w:p>
      <w:pPr>
        <w:pBdr>
          <w:bottom w:val="single" w:color="1F3864" w:sz="8"/>
        </w:pBdr>
        <w:spacing w:after="80" w:before="280"/>
      </w:pPr>
      <w:r>
        <w:rPr>
          <w:rFonts w:ascii="Arial" w:cs="Arial" w:eastAsia="Arial" w:hAnsi="Arial"/>
          <w:b/>
          <w:bCs/>
          <w:color w:val="1F3864"/>
          <w:sz w:val="26"/>
          <w:szCs w:val="26"/>
        </w:rPr>
        <w:t xml:space="preserve">13. Roles and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1F3864" w:sz="4"/>
              <w:left w:val="single" w:color="1F3864" w:sz="4"/>
              <w:bottom w:val="single" w:color="1F3864" w:sz="4"/>
              <w:right w:val="single" w:color="1F3864" w:sz="4"/>
            </w:tcBorders>
            <w:shd w:color="1F3864"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6226"/>
            <w:tcBorders>
              <w:top w:val="single" w:color="1F3864" w:sz="4"/>
              <w:left w:val="single" w:color="1F3864" w:sz="4"/>
              <w:bottom w:val="single" w:color="1F3864" w:sz="4"/>
              <w:right w:val="single" w:color="1F3864" w:sz="4"/>
            </w:tcBorders>
            <w:shd w:color="1F3864" w:val="clear"/>
            <w:tcMar>
              <w:top w:type="dxa" w:w="80"/>
              <w:left w:type="dxa" w:w="120"/>
              <w:bottom w:type="dxa" w:w="80"/>
              <w:right w:type="dxa" w:w="120"/>
            </w:tcMar>
          </w:tcPr>
          <w:p>
            <w:r>
              <w:rPr>
                <w:rFonts w:ascii="Arial" w:cs="Arial" w:eastAsia="Arial" w:hAnsi="Arial"/>
                <w:b/>
                <w:bCs/>
                <w:color w:val="FFFFFF"/>
                <w:sz w:val="19"/>
                <w:szCs w:val="19"/>
              </w:rPr>
              <w:t xml:space="preserve">Responsibility</w:t>
            </w:r>
          </w:p>
        </w:tc>
      </w:tr>
      <w:tr>
        <w:tc>
          <w:tcPr>
            <w:tcW w:type="dxa" w:w="3000"/>
            <w:tcBorders>
              <w:top w:val="single" w:color="CCCCCC" w:sz="4"/>
              <w:left w:val="single" w:color="CCCCCC" w:sz="4"/>
              <w:bottom w:val="single" w:color="CCCCCC" w:sz="4"/>
              <w:right w:val="single" w:color="CCCCCC" w:sz="4"/>
            </w:tcBorders>
            <w:shd w:color="FFFFFF" w:val="clear"/>
            <w:tcMar>
              <w:top w:type="dxa" w:w="80"/>
              <w:left w:type="dxa" w:w="120"/>
              <w:bottom w:type="dxa" w:w="80"/>
              <w:right w:type="dxa" w:w="120"/>
            </w:tcMar>
          </w:tcPr>
          <w:p>
            <w:r>
              <w:rPr>
                <w:rFonts w:ascii="Arial" w:cs="Arial" w:eastAsia="Arial" w:hAnsi="Arial"/>
                <w:b/>
                <w:bCs/>
                <w:sz w:val="19"/>
                <w:szCs w:val="19"/>
              </w:rPr>
              <w:t xml:space="preserve">All Users</w:t>
            </w:r>
          </w:p>
        </w:tc>
        <w:tc>
          <w:tcPr>
            <w:tcW w:type="dxa" w:w="6026"/>
            <w:tcBorders>
              <w:top w:val="single" w:color="CCCCCC" w:sz="4"/>
              <w:left w:val="single" w:color="CCCCCC" w:sz="4"/>
              <w:bottom w:val="single" w:color="CCCCCC" w:sz="4"/>
              <w:right w:val="single" w:color="CCCCCC" w:sz="4"/>
            </w:tcBorders>
            <w:shd w:color="FFFFFF" w:val="clear"/>
            <w:tcMar>
              <w:top w:type="dxa" w:w="80"/>
              <w:left w:type="dxa" w:w="120"/>
              <w:bottom w:type="dxa" w:w="80"/>
              <w:right w:type="dxa" w:w="120"/>
            </w:tcMar>
          </w:tcPr>
          <w:p>
            <w:r>
              <w:rPr>
                <w:rFonts w:ascii="Arial" w:cs="Arial" w:eastAsia="Arial" w:hAnsi="Arial"/>
                <w:sz w:val="19"/>
                <w:szCs w:val="19"/>
              </w:rPr>
              <w:t xml:space="preserve">Read, understand, and comply with this policy; report incidents promptly</w:t>
            </w:r>
          </w:p>
        </w:tc>
      </w:tr>
      <w:tr>
        <w:tc>
          <w:tcPr>
            <w:tcW w:type="dxa" w:w="3000"/>
            <w:tcBorders>
              <w:top w:val="single" w:color="CCCCCC" w:sz="4"/>
              <w:left w:val="single" w:color="CCCCCC" w:sz="4"/>
              <w:bottom w:val="single" w:color="CCCCCC" w:sz="4"/>
              <w:right w:val="single" w:color="CCCCCC" w:sz="4"/>
            </w:tcBorders>
            <w:shd w:color="EBF3FB" w:val="clear"/>
            <w:tcMar>
              <w:top w:type="dxa" w:w="80"/>
              <w:left w:type="dxa" w:w="120"/>
              <w:bottom w:type="dxa" w:w="80"/>
              <w:right w:type="dxa" w:w="120"/>
            </w:tcMar>
          </w:tcPr>
          <w:p>
            <w:r>
              <w:rPr>
                <w:rFonts w:ascii="Arial" w:cs="Arial" w:eastAsia="Arial" w:hAnsi="Arial"/>
                <w:b/>
                <w:bCs/>
                <w:sz w:val="19"/>
                <w:szCs w:val="19"/>
              </w:rPr>
              <w:t xml:space="preserve">Line Managers</w:t>
            </w:r>
          </w:p>
        </w:tc>
        <w:tc>
          <w:tcPr>
            <w:tcW w:type="dxa" w:w="6026"/>
            <w:tcBorders>
              <w:top w:val="single" w:color="CCCCCC" w:sz="4"/>
              <w:left w:val="single" w:color="CCCCCC" w:sz="4"/>
              <w:bottom w:val="single" w:color="CCCCCC" w:sz="4"/>
              <w:right w:val="single" w:color="CCCCCC" w:sz="4"/>
            </w:tcBorders>
            <w:shd w:color="EBF3FB" w:val="clear"/>
            <w:tcMar>
              <w:top w:type="dxa" w:w="80"/>
              <w:left w:type="dxa" w:w="120"/>
              <w:bottom w:type="dxa" w:w="80"/>
              <w:right w:type="dxa" w:w="120"/>
            </w:tcMar>
          </w:tcPr>
          <w:p>
            <w:r>
              <w:rPr>
                <w:rFonts w:ascii="Arial" w:cs="Arial" w:eastAsia="Arial" w:hAnsi="Arial"/>
                <w:sz w:val="19"/>
                <w:szCs w:val="19"/>
              </w:rPr>
              <w:t xml:space="preserve">Ensure team members have read and acknowledged this policy; escalate violations</w:t>
            </w:r>
          </w:p>
        </w:tc>
      </w:tr>
      <w:tr>
        <w:tc>
          <w:tcPr>
            <w:tcW w:type="dxa" w:w="3000"/>
            <w:tcBorders>
              <w:top w:val="single" w:color="CCCCCC" w:sz="4"/>
              <w:left w:val="single" w:color="CCCCCC" w:sz="4"/>
              <w:bottom w:val="single" w:color="CCCCCC" w:sz="4"/>
              <w:right w:val="single" w:color="CCCCCC" w:sz="4"/>
            </w:tcBorders>
            <w:shd w:color="FFFFFF" w:val="clear"/>
            <w:tcMar>
              <w:top w:type="dxa" w:w="80"/>
              <w:left w:type="dxa" w:w="120"/>
              <w:bottom w:type="dxa" w:w="80"/>
              <w:right w:type="dxa" w:w="120"/>
            </w:tcMar>
          </w:tcPr>
          <w:p>
            <w:r>
              <w:rPr>
                <w:rFonts w:ascii="Arial" w:cs="Arial" w:eastAsia="Arial" w:hAnsi="Arial"/>
                <w:b/>
                <w:bCs/>
                <w:sz w:val="19"/>
                <w:szCs w:val="19"/>
              </w:rPr>
              <w:t xml:space="preserve">IT Department</w:t>
            </w:r>
          </w:p>
        </w:tc>
        <w:tc>
          <w:tcPr>
            <w:tcW w:type="dxa" w:w="6026"/>
            <w:tcBorders>
              <w:top w:val="single" w:color="CCCCCC" w:sz="4"/>
              <w:left w:val="single" w:color="CCCCCC" w:sz="4"/>
              <w:bottom w:val="single" w:color="CCCCCC" w:sz="4"/>
              <w:right w:val="single" w:color="CCCCCC" w:sz="4"/>
            </w:tcBorders>
            <w:shd w:color="FFFFFF" w:val="clear"/>
            <w:tcMar>
              <w:top w:type="dxa" w:w="80"/>
              <w:left w:type="dxa" w:w="120"/>
              <w:bottom w:type="dxa" w:w="80"/>
              <w:right w:type="dxa" w:w="120"/>
            </w:tcMar>
          </w:tcPr>
          <w:p>
            <w:r>
              <w:rPr>
                <w:rFonts w:ascii="Arial" w:cs="Arial" w:eastAsia="Arial" w:hAnsi="Arial"/>
                <w:sz w:val="19"/>
                <w:szCs w:val="19"/>
              </w:rPr>
              <w:t xml:space="preserve">Implement and maintain technical controls; respond to incidents; manage access rights</w:t>
            </w:r>
          </w:p>
        </w:tc>
      </w:tr>
      <w:tr>
        <w:tc>
          <w:tcPr>
            <w:tcW w:type="dxa" w:w="3000"/>
            <w:tcBorders>
              <w:top w:val="single" w:color="CCCCCC" w:sz="4"/>
              <w:left w:val="single" w:color="CCCCCC" w:sz="4"/>
              <w:bottom w:val="single" w:color="CCCCCC" w:sz="4"/>
              <w:right w:val="single" w:color="CCCCCC" w:sz="4"/>
            </w:tcBorders>
            <w:shd w:color="EBF3FB" w:val="clear"/>
            <w:tcMar>
              <w:top w:type="dxa" w:w="80"/>
              <w:left w:type="dxa" w:w="120"/>
              <w:bottom w:type="dxa" w:w="80"/>
              <w:right w:type="dxa" w:w="120"/>
            </w:tcMar>
          </w:tcPr>
          <w:p>
            <w:r>
              <w:rPr>
                <w:rFonts w:ascii="Arial" w:cs="Arial" w:eastAsia="Arial" w:hAnsi="Arial"/>
                <w:b/>
                <w:bCs/>
                <w:sz w:val="19"/>
                <w:szCs w:val="19"/>
              </w:rPr>
              <w:t xml:space="preserve">Information Security Manager</w:t>
            </w:r>
          </w:p>
        </w:tc>
        <w:tc>
          <w:tcPr>
            <w:tcW w:type="dxa" w:w="6026"/>
            <w:tcBorders>
              <w:top w:val="single" w:color="CCCCCC" w:sz="4"/>
              <w:left w:val="single" w:color="CCCCCC" w:sz="4"/>
              <w:bottom w:val="single" w:color="CCCCCC" w:sz="4"/>
              <w:right w:val="single" w:color="CCCCCC" w:sz="4"/>
            </w:tcBorders>
            <w:shd w:color="EBF3FB" w:val="clear"/>
            <w:tcMar>
              <w:top w:type="dxa" w:w="80"/>
              <w:left w:type="dxa" w:w="120"/>
              <w:bottom w:type="dxa" w:w="80"/>
              <w:right w:type="dxa" w:w="120"/>
            </w:tcMar>
          </w:tcPr>
          <w:p>
            <w:r>
              <w:rPr>
                <w:rFonts w:ascii="Arial" w:cs="Arial" w:eastAsia="Arial" w:hAnsi="Arial"/>
                <w:sz w:val="19"/>
                <w:szCs w:val="19"/>
              </w:rPr>
              <w:t xml:space="preserve">Own, review, and update this policy; conduct audits; manage compliance programme</w:t>
            </w:r>
          </w:p>
        </w:tc>
      </w:tr>
      <w:tr>
        <w:tc>
          <w:tcPr>
            <w:tcW w:type="dxa" w:w="3000"/>
            <w:tcBorders>
              <w:top w:val="single" w:color="CCCCCC" w:sz="4"/>
              <w:left w:val="single" w:color="CCCCCC" w:sz="4"/>
              <w:bottom w:val="single" w:color="CCCCCC" w:sz="4"/>
              <w:right w:val="single" w:color="CCCCCC" w:sz="4"/>
            </w:tcBorders>
            <w:shd w:color="FFFFFF" w:val="clear"/>
            <w:tcMar>
              <w:top w:type="dxa" w:w="80"/>
              <w:left w:type="dxa" w:w="120"/>
              <w:bottom w:type="dxa" w:w="80"/>
              <w:right w:type="dxa" w:w="120"/>
            </w:tcMar>
          </w:tcPr>
          <w:p>
            <w:r>
              <w:rPr>
                <w:rFonts w:ascii="Arial" w:cs="Arial" w:eastAsia="Arial" w:hAnsi="Arial"/>
                <w:b/>
                <w:bCs/>
                <w:sz w:val="19"/>
                <w:szCs w:val="19"/>
              </w:rPr>
              <w:t xml:space="preserve">Human Resources</w:t>
            </w:r>
          </w:p>
        </w:tc>
        <w:tc>
          <w:tcPr>
            <w:tcW w:type="dxa" w:w="6026"/>
            <w:tcBorders>
              <w:top w:val="single" w:color="CCCCCC" w:sz="4"/>
              <w:left w:val="single" w:color="CCCCCC" w:sz="4"/>
              <w:bottom w:val="single" w:color="CCCCCC" w:sz="4"/>
              <w:right w:val="single" w:color="CCCCCC" w:sz="4"/>
            </w:tcBorders>
            <w:shd w:color="FFFFFF" w:val="clear"/>
            <w:tcMar>
              <w:top w:type="dxa" w:w="80"/>
              <w:left w:type="dxa" w:w="120"/>
              <w:bottom w:type="dxa" w:w="80"/>
              <w:right w:type="dxa" w:w="120"/>
            </w:tcMar>
          </w:tcPr>
          <w:p>
            <w:r>
              <w:rPr>
                <w:rFonts w:ascii="Arial" w:cs="Arial" w:eastAsia="Arial" w:hAnsi="Arial"/>
                <w:sz w:val="19"/>
                <w:szCs w:val="19"/>
              </w:rPr>
              <w:t xml:space="preserve">Incorporate policy acknowledgement into onboarding; manage disciplinary processes</w:t>
            </w:r>
          </w:p>
        </w:tc>
      </w:tr>
      <w:tr>
        <w:tc>
          <w:tcPr>
            <w:tcW w:type="dxa" w:w="3000"/>
            <w:tcBorders>
              <w:top w:val="single" w:color="CCCCCC" w:sz="4"/>
              <w:left w:val="single" w:color="CCCCCC" w:sz="4"/>
              <w:bottom w:val="single" w:color="CCCCCC" w:sz="4"/>
              <w:right w:val="single" w:color="CCCCCC" w:sz="4"/>
            </w:tcBorders>
            <w:shd w:color="EBF3FB" w:val="clear"/>
            <w:tcMar>
              <w:top w:type="dxa" w:w="80"/>
              <w:left w:type="dxa" w:w="120"/>
              <w:bottom w:type="dxa" w:w="80"/>
              <w:right w:type="dxa" w:w="120"/>
            </w:tcMar>
          </w:tcPr>
          <w:p>
            <w:r>
              <w:rPr>
                <w:rFonts w:ascii="Arial" w:cs="Arial" w:eastAsia="Arial" w:hAnsi="Arial"/>
                <w:b/>
                <w:bCs/>
                <w:sz w:val="19"/>
                <w:szCs w:val="19"/>
              </w:rPr>
              <w:t xml:space="preserve">Senior Management</w:t>
            </w:r>
          </w:p>
        </w:tc>
        <w:tc>
          <w:tcPr>
            <w:tcW w:type="dxa" w:w="6026"/>
            <w:tcBorders>
              <w:top w:val="single" w:color="CCCCCC" w:sz="4"/>
              <w:left w:val="single" w:color="CCCCCC" w:sz="4"/>
              <w:bottom w:val="single" w:color="CCCCCC" w:sz="4"/>
              <w:right w:val="single" w:color="CCCCCC" w:sz="4"/>
            </w:tcBorders>
            <w:shd w:color="EBF3FB" w:val="clear"/>
            <w:tcMar>
              <w:top w:type="dxa" w:w="80"/>
              <w:left w:type="dxa" w:w="120"/>
              <w:bottom w:type="dxa" w:w="80"/>
              <w:right w:type="dxa" w:w="120"/>
            </w:tcMar>
          </w:tcPr>
          <w:p>
            <w:r>
              <w:rPr>
                <w:rFonts w:ascii="Arial" w:cs="Arial" w:eastAsia="Arial" w:hAnsi="Arial"/>
                <w:sz w:val="19"/>
                <w:szCs w:val="19"/>
              </w:rPr>
              <w:t xml:space="preserve">Approve policy; model compliant behaviour; support security culture</w:t>
            </w:r>
          </w:p>
        </w:tc>
      </w:tr>
    </w:tbl>
    <w:p>
      <w:pPr>
        <w:pBdr>
          <w:bottom w:val="single" w:color="1F3864" w:sz="8"/>
        </w:pBdr>
        <w:spacing w:after="80" w:before="280"/>
      </w:pPr>
      <w:r>
        <w:rPr>
          <w:rFonts w:ascii="Arial" w:cs="Arial" w:eastAsia="Arial" w:hAnsi="Arial"/>
          <w:b/>
          <w:bCs/>
          <w:color w:val="1F3864"/>
          <w:sz w:val="26"/>
          <w:szCs w:val="26"/>
        </w:rPr>
        <w:t xml:space="preserve">14. Policy Review</w:t>
      </w:r>
    </w:p>
    <w:p>
      <w:pPr>
        <w:spacing w:after="120" w:before="0"/>
        <w:jc w:val="both"/>
      </w:pPr>
      <w:r>
        <w:rPr>
          <w:rFonts w:ascii="Arial" w:cs="Arial" w:eastAsia="Arial" w:hAnsi="Arial"/>
          <w:color w:val="000000"/>
          <w:sz w:val="20"/>
          <w:szCs w:val="20"/>
        </w:rPr>
        <w:t xml:space="preserve">This policy will be reviewed annually or following any significant change to the organisation's IT environment, applicable law, or security threat landscape. The Information Security Manager is responsible for initiating the review process and presenting proposed amendments to senior management for approval. All users will be notified of material changes and required to re-acknowledge the updated policy.</w:t>
      </w:r>
    </w:p>
    <w:p>
      <w:pPr>
        <w:pBdr>
          <w:bottom w:val="single" w:color="1F3864" w:sz="8"/>
        </w:pBdr>
        <w:spacing w:after="80" w:before="280"/>
      </w:pPr>
      <w:r>
        <w:rPr>
          <w:rFonts w:ascii="Arial" w:cs="Arial" w:eastAsia="Arial" w:hAnsi="Arial"/>
          <w:b/>
          <w:bCs/>
          <w:color w:val="1F3864"/>
          <w:sz w:val="26"/>
          <w:szCs w:val="26"/>
        </w:rPr>
        <w:t xml:space="preserve">15. Acknowledgement</w:t>
      </w:r>
    </w:p>
    <w:p>
      <w:pPr>
        <w:spacing w:after="120" w:before="0"/>
        <w:jc w:val="both"/>
      </w:pPr>
      <w:r>
        <w:rPr>
          <w:rFonts w:ascii="Arial" w:cs="Arial" w:eastAsia="Arial" w:hAnsi="Arial"/>
          <w:color w:val="000000"/>
          <w:sz w:val="20"/>
          <w:szCs w:val="20"/>
        </w:rPr>
        <w:t xml:space="preserve">By accessing Kontrucktors SA information systems, all users confirm that they have read, understood, and agree to comply with this Acceptable Use Policy. New employees and contractors will be required to sign a formal acknowledgement as part of their onboarding process.</w:t>
      </w:r>
    </w:p>
    <w:p>
      <w:pP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il" w:color="FFFFFF" w:sz="0"/>
              <w:left w:val="nil" w:color="FFFFFF" w:sz="0"/>
              <w:bottom w:val="nil" w:color="FFFFFF" w:sz="0"/>
              <w:right w:val="nil" w:color="FFFFFF" w:sz="0"/>
            </w:tcBorders>
            <w:tcMar>
              <w:top w:type="dxa" w:w="80"/>
              <w:left w:type="dxa" w:w="0"/>
              <w:bottom w:type="dxa" w:w="80"/>
              <w:right w:type="dxa" w:w="120"/>
            </w:tcMar>
          </w:tcPr>
          <w:p>
            <w:r>
              <w:rPr>
                <w:rFonts w:ascii="Arial" w:cs="Arial" w:eastAsia="Arial" w:hAnsi="Arial"/>
                <w:sz w:val="19"/>
                <w:szCs w:val="19"/>
              </w:rPr>
              <w:t xml:space="preserve">Employee / Contractor Name:</w:t>
            </w:r>
          </w:p>
          <w:p>
            <w:pPr>
              <w:spacing w:after="0" w:before="200"/>
            </w:pPr>
            <w:r>
              <w:rPr>
                <w:rFonts w:ascii="Arial" w:cs="Arial" w:eastAsia="Arial" w:hAnsi="Arial"/>
                <w:sz w:val="19"/>
                <w:szCs w:val="19"/>
              </w:rPr>
              <w:t xml:space="preserve">________________________________</w:t>
            </w:r>
          </w:p>
        </w:tc>
        <w:tc>
          <w:tcPr>
            <w:tcW w:type="dxa" w:w="4513"/>
            <w:tcBorders>
              <w:top w:val="nil" w:color="FFFFFF" w:sz="0"/>
              <w:left w:val="nil" w:color="FFFFFF" w:sz="0"/>
              <w:bottom w:val="nil" w:color="FFFFFF" w:sz="0"/>
              <w:right w:val="nil" w:color="FFFFFF" w:sz="0"/>
            </w:tcBorders>
            <w:tcMar>
              <w:top w:type="dxa" w:w="80"/>
              <w:left w:type="dxa" w:w="120"/>
              <w:bottom w:type="dxa" w:w="80"/>
              <w:right w:type="dxa" w:w="0"/>
            </w:tcMar>
          </w:tcPr>
          <w:p>
            <w:r>
              <w:rPr>
                <w:rFonts w:ascii="Arial" w:cs="Arial" w:eastAsia="Arial" w:hAnsi="Arial"/>
                <w:sz w:val="19"/>
                <w:szCs w:val="19"/>
              </w:rPr>
              <w:t xml:space="preserve">Signature:</w:t>
            </w:r>
          </w:p>
          <w:p>
            <w:pPr>
              <w:spacing w:after="0" w:before="200"/>
            </w:pPr>
            <w:r>
              <w:rPr>
                <w:rFonts w:ascii="Arial" w:cs="Arial" w:eastAsia="Arial" w:hAnsi="Arial"/>
                <w:sz w:val="19"/>
                <w:szCs w:val="19"/>
              </w:rPr>
              <w:t xml:space="preserve">________________________________</w:t>
            </w:r>
          </w:p>
        </w:tc>
      </w:tr>
      <w:tr>
        <w:tc>
          <w:tcPr>
            <w:tcW w:type="dxa" w:w="4513"/>
            <w:tcBorders>
              <w:top w:val="nil" w:color="FFFFFF" w:sz="0"/>
              <w:left w:val="nil" w:color="FFFFFF" w:sz="0"/>
              <w:bottom w:val="nil" w:color="FFFFFF" w:sz="0"/>
              <w:right w:val="nil" w:color="FFFFFF" w:sz="0"/>
            </w:tcBorders>
            <w:tcMar>
              <w:top w:type="dxa" w:w="140"/>
              <w:left w:type="dxa" w:w="0"/>
              <w:bottom w:type="dxa" w:w="80"/>
              <w:right w:type="dxa" w:w="120"/>
            </w:tcMar>
          </w:tcPr>
          <w:p>
            <w:r>
              <w:rPr>
                <w:rFonts w:ascii="Arial" w:cs="Arial" w:eastAsia="Arial" w:hAnsi="Arial"/>
                <w:sz w:val="19"/>
                <w:szCs w:val="19"/>
              </w:rPr>
              <w:t xml:space="preserve">Job Title:</w:t>
            </w:r>
          </w:p>
          <w:p>
            <w:pPr>
              <w:spacing w:after="0" w:before="200"/>
            </w:pPr>
            <w:r>
              <w:rPr>
                <w:rFonts w:ascii="Arial" w:cs="Arial" w:eastAsia="Arial" w:hAnsi="Arial"/>
                <w:sz w:val="19"/>
                <w:szCs w:val="19"/>
              </w:rPr>
              <w:t xml:space="preserve">________________________________</w:t>
            </w:r>
          </w:p>
        </w:tc>
        <w:tc>
          <w:tcPr>
            <w:tcW w:type="dxa" w:w="4513"/>
            <w:tcBorders>
              <w:top w:val="nil" w:color="FFFFFF" w:sz="0"/>
              <w:left w:val="nil" w:color="FFFFFF" w:sz="0"/>
              <w:bottom w:val="nil" w:color="FFFFFF" w:sz="0"/>
              <w:right w:val="nil" w:color="FFFFFF" w:sz="0"/>
            </w:tcBorders>
            <w:tcMar>
              <w:top w:type="dxa" w:w="140"/>
              <w:left w:type="dxa" w:w="120"/>
              <w:bottom w:type="dxa" w:w="80"/>
              <w:right w:type="dxa" w:w="0"/>
            </w:tcMar>
          </w:tcPr>
          <w:p>
            <w:r>
              <w:rPr>
                <w:rFonts w:ascii="Arial" w:cs="Arial" w:eastAsia="Arial" w:hAnsi="Arial"/>
                <w:sz w:val="19"/>
                <w:szCs w:val="19"/>
              </w:rPr>
              <w:t xml:space="preserve">Date:</w:t>
            </w:r>
          </w:p>
          <w:p>
            <w:pPr>
              <w:spacing w:after="0" w:before="200"/>
            </w:pPr>
            <w:r>
              <w:rPr>
                <w:rFonts w:ascii="Arial" w:cs="Arial" w:eastAsia="Arial" w:hAnsi="Arial"/>
                <w:sz w:val="19"/>
                <w:szCs w:val="19"/>
              </w:rPr>
              <w:t xml:space="preserve">________________________________</w:t>
            </w:r>
          </w:p>
        </w:tc>
      </w:tr>
    </w:tbl>
    <w:p>
      <w:pPr>
        <w:spacing w:after="0" w:before="200"/>
      </w:pPr>
    </w:p>
    <w:p>
      <w:pPr>
        <w:pBdr>
          <w:bottom w:val="single" w:color="2E75B6" w:sz="6"/>
        </w:pBdr>
        <w:spacing w:after="80" w:before="0"/>
      </w:pPr>
    </w:p>
    <w:p>
      <w:pPr>
        <w:spacing w:after="0" w:before="60"/>
        <w:jc w:val="center"/>
      </w:pPr>
      <w:r>
        <w:rPr>
          <w:rFonts w:ascii="Arial" w:cs="Arial" w:eastAsia="Arial" w:hAnsi="Arial"/>
          <w:color w:val="888888"/>
          <w:sz w:val="17"/>
          <w:szCs w:val="17"/>
        </w:rPr>
        <w:t xml:space="preserve">Kontrucktors SA  |  KSA-ISP-AUP-001  |  Version 1.0  |  Confidential  |  Internal Use Only</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2026-09-17T06:29:38.958Z</dcterms:created>
  <dcterms:modified xsi:type="dcterms:W3CDTF">2026-09-17T06:29:38.965Z</dcterms:modified>
</cp:coreProperties>
</file>

<file path=docProps/custom.xml><?xml version="1.0" encoding="utf-8"?>
<Properties xmlns="http://schemas.openxmlformats.org/officeDocument/2006/custom-properties" xmlns:vt="http://schemas.openxmlformats.org/officeDocument/2006/docPropsVTypes"/>
</file>