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Style w:val="13"/>
          <w:rFonts w:ascii="仿宋" w:hAnsi="仿宋" w:eastAsia="仿宋"/>
          <w:szCs w:val="21"/>
          <w:shd w:val="clear" w:color="auto" w:fill="FFFFFF"/>
        </w:rPr>
      </w:pPr>
      <w:r>
        <w:rPr>
          <w:rFonts w:hint="eastAsia" w:ascii="仿宋" w:hAnsi="仿宋" w:eastAsia="仿宋" w:cs="宋体"/>
          <w:kern w:val="0"/>
          <w:szCs w:val="21"/>
        </w:rPr>
        <w:t>主标题：</w:t>
      </w:r>
      <w:r>
        <w:rPr>
          <w:rFonts w:ascii="Calibri" w:hAnsi="Calibri" w:eastAsia="仿宋" w:cs="Calibri"/>
          <w:szCs w:val="21"/>
          <w:shd w:val="clear" w:color="auto" w:fill="FFFFFF"/>
        </w:rPr>
        <w:t> 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布达拉宫</w:t>
      </w:r>
      <w:r>
        <w:rPr>
          <w:rFonts w:hint="eastAsia" w:ascii="仿宋" w:hAnsi="仿宋" w:eastAsia="仿宋" w:cs="宋体"/>
          <w:kern w:val="0"/>
          <w:szCs w:val="21"/>
        </w:rPr>
        <w:t> 5A景区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副标题：</w:t>
      </w:r>
      <w:r>
        <w:rPr>
          <w:rFonts w:ascii="仿宋" w:hAnsi="仿宋" w:eastAsia="仿宋"/>
          <w:szCs w:val="21"/>
          <w:shd w:val="clear" w:color="auto" w:fill="FFFFFF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朝圣者的圣地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票价：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21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/>
          <w:sz w:val="21"/>
          <w:szCs w:val="21"/>
        </w:rPr>
        <w:t>景区介绍：</w:t>
      </w: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布达拉宫在西藏拉萨西北的玛布日山上，是著名的宫堡式建筑群，藏族古建筑艺术的精华。布达拉宫始建于公元7世纪，是藏王松赞干布为远嫁西藏的唐朝文成公主而建。在拉萨海拔3,700多米的红山上建造了999间房屋的宫宇——布达拉宫。宫堡依山而建，现占地41万平方米，建筑面积13万平方米，宫体主楼13层，高115米，全部为石木结构，5座宫顶覆盖镏金铜瓦，金光灿烂，气势雄伟，是藏族古建筑艺术的精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布达拉宫内部绘有大量的壁画，构成一座巨大的绘画艺术长廊，先后参加壁画绘制的近有二百人，先后用去十余年时间。壁画的题材有西藏佛教发展的历史，无世达喇嘛生平，文成公主进藏的过程，西藏古代建筑形象和大量佛像，金刚是一部珍贵的历史画篆。布达拉宫中各座殿堂中保存有大量的珍贵文物和佛教艺术品。无世达 的灵塔，座落在灵塔殿中。塔高14.85米，塔身用黄金包裹，并嵌满各种珠宝玉石，建造中耗费黄金11万两。其它几座灵塔虽不如达赖喇嘛灵塔高大，其外表的装饰同样使用大量黄金和珠宝，可谓价值连城。布达拉宫整体为石木结构宫殿外墙厚达2～5米，基础直接埋入岩层。墙身全部用花岗岩砌筑，高达数十米，每隔一段距离，中间灌注铁汁，进行加固，提高了墙体抗震能力，坚固稳定。屋顶和窗檐用木制结构，飞檐外挑，屋角翘起，铜瓦鎏金，用鎏金经幢，宝瓶，摩蝎鱼和金翅乌做，脊饰。闪亮的屋顶采用歇山式和攒尖式，具有汉代建筑风格。屋檐下的墙面装饰有鎏金铜饰，形象都是佛教法器式八宝，有浓重的藏传佛教色彩。柱身和粱仿上布满了鲜艳的彩画和华丽的雕饰。内不廊道交错，殿堂杂陈，空间曲折莫测，置身其中，步入神秘世界。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b/>
          <w:bCs/>
          <w:kern w:val="0"/>
          <w:szCs w:val="21"/>
        </w:rPr>
      </w:pPr>
      <w:r>
        <w:rPr>
          <w:rFonts w:hint="eastAsia" w:ascii="仿宋" w:hAnsi="仿宋" w:eastAsia="仿宋" w:cs="宋体"/>
          <w:b/>
          <w:bCs/>
          <w:kern w:val="0"/>
          <w:szCs w:val="21"/>
        </w:rPr>
        <w:t>开放时间：</w:t>
      </w:r>
    </w:p>
    <w:p>
      <w:pPr>
        <w:widowControl/>
        <w:shd w:val="clear" w:color="auto" w:fill="FFFFFF"/>
        <w:jc w:val="left"/>
        <w:rPr>
          <w:rFonts w:hint="eastAsia" w:ascii="仿宋" w:hAnsi="仿宋" w:eastAsia="仿宋"/>
          <w:sz w:val="21"/>
          <w:szCs w:val="21"/>
          <w:lang w:eastAsia="zh-CN"/>
        </w:rPr>
      </w:pPr>
      <w:r>
        <w:rPr>
          <w:rFonts w:hint="eastAsia" w:ascii="仿宋" w:hAnsi="仿宋" w:eastAsia="仿宋"/>
          <w:sz w:val="21"/>
          <w:szCs w:val="21"/>
          <w:lang w:eastAsia="zh-CN"/>
        </w:rPr>
        <w:t>0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9</w:t>
      </w:r>
      <w:r>
        <w:rPr>
          <w:rFonts w:hint="eastAsia" w:ascii="仿宋" w:hAnsi="仿宋" w:eastAsia="仿宋"/>
          <w:sz w:val="21"/>
          <w:szCs w:val="21"/>
          <w:lang w:eastAsia="zh-CN"/>
        </w:rPr>
        <w:t>:30～1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6</w:t>
      </w:r>
      <w:r>
        <w:rPr>
          <w:rFonts w:hint="eastAsia" w:ascii="仿宋" w:hAnsi="仿宋" w:eastAsia="仿宋"/>
          <w:sz w:val="21"/>
          <w:szCs w:val="21"/>
          <w:lang w:eastAsia="zh-CN"/>
        </w:rPr>
        <w:t>:00开放；</w:t>
      </w:r>
    </w:p>
    <w:p>
      <w:pPr>
        <w:widowControl/>
        <w:shd w:val="clear" w:color="auto" w:fill="FFFFFF"/>
        <w:jc w:val="center"/>
        <w:outlineLvl w:val="1"/>
        <w:rPr>
          <w:rFonts w:ascii="仿宋" w:hAnsi="仿宋" w:eastAsia="仿宋" w:cs="Tahoma"/>
          <w:b/>
          <w:bCs/>
          <w:kern w:val="0"/>
          <w:szCs w:val="21"/>
          <w:lang w:val="en-US"/>
        </w:rPr>
      </w:pPr>
      <w:r>
        <w:rPr>
          <w:rFonts w:hint="eastAsia" w:ascii="仿宋" w:hAnsi="仿宋" w:eastAsia="仿宋" w:cs="Tahoma"/>
          <w:b/>
          <w:bCs/>
          <w:kern w:val="0"/>
          <w:szCs w:val="21"/>
          <w:lang w:val="en-US" w:eastAsia="zh-CN"/>
        </w:rPr>
        <w:t>布达拉宫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布达拉宫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帕巴拉康—圣观音殿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帕巴拉康—圣观音殿是布达拉宫的主供佛殿，殿堂内主供布达拉宫的镇宫之宝级文物——圣观音像。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布达拉宫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白宫德央厦—东欢乐广场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白宫德央厦—东欢乐广场位于白宫东侧，面积达1300余平方米，是旧西藏政府在布达拉宫内举行演出等大型活动的场所。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布达拉宫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措钦司西平措努—西大殿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措钦司西平措努一西大殿，位于红宫四层中央，大殿面积达776.2平方米，是五世达赖喇嘛的享堂，四周墙壁绘2215组壁画，记录了五世达赖喇嘛的家族史及本人传记。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 w:cs="Tahoma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布达拉宫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伍孜加毗——金顶群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金顶群是布达拉宫一处独特景观，位于海拔3750余米的布达拉宫主楼红宫之巅，这里共有7座金顶，均为铜鎏金制成。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布达拉宫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堆廓拉康—时轮殿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时轮殿位于红宫六层回廓东侧，殿内中央供奉一座铜鎏金时轮立体坛城，周围佛龛内供奉有印度、中国的著名历算传承者168位的塑像等珍贵造像。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入园公告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免费政策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身高1.2米以下的儿童可免票参观。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优惠政策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在校学生（限90后）凭学生证和身份证可享受布达拉宫门票当季价格的半价优惠政策。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1"/>
                <w:szCs w:val="21"/>
              </w:rPr>
              <w:t>残疾人凭残疾证可享受布达拉宫门票当季价格的半价优惠政策。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3、 现役军人凭军人证可享受布达拉宫门票当季价格的半价优惠政策。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4、 在编教师凭教师证可享受布达拉宫门票当季价格的半价优惠政策。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5、 老年人凭老年证可享受布达拉宫门票当季价格的半价优惠政策。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96CCE"/>
    <w:multiLevelType w:val="singleLevel"/>
    <w:tmpl w:val="64096CCE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  <w:rsid w:val="222A2F1A"/>
    <w:rsid w:val="5B3740E0"/>
    <w:rsid w:val="67C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mp-description-name"/>
    <w:basedOn w:val="7"/>
    <w:qFormat/>
    <w:uiPriority w:val="0"/>
  </w:style>
  <w:style w:type="character" w:customStyle="1" w:styleId="13">
    <w:name w:val="mp-description-level"/>
    <w:basedOn w:val="7"/>
    <w:qFormat/>
    <w:uiPriority w:val="0"/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2</TotalTime>
  <ScaleCrop>false</ScaleCrop>
  <LinksUpToDate>false</LinksUpToDate>
  <CharactersWithSpaces>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2019-01-01T08:26:00Z</dcterms:created>
  <dc:creator>Administrator</dc:creator>
  <cp:lastModifiedBy>web</cp:lastModifiedBy>
  <dcterms:modified xsi:type="dcterms:W3CDTF">2019-01-03T11:42:36Z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