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264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AFAFA"/>
        </w:rPr>
        <w:t>景点概况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bdr w:val="none" w:color="auto" w:sz="0" w:space="0"/>
          <w:shd w:val="clear" w:fill="FAFAFA"/>
          <w:lang w:val="en-US" w:eastAsia="zh-CN" w:bidi="ar"/>
        </w:rPr>
        <w:t>台湾的观光资源十分丰富，从海底世界到高山森林都可以在岛上找到，每个月都有各式各样的展览、音乐节和传统节庆，而台湾最美丽的风景是人，富有人文风情、浓厚历史的古城台南、鹿港、大溪等地都聚集了很高的人气；热闹繁华应有尽有的台北、台中、高雄是台湾的城市风貌，充满度假风情、闲度时光的台东、垦丁则是台湾的浅浅微笑。不同地方、不同玩法，丰富的自然资源，魅力十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0" w:right="0"/>
        <w:rPr>
          <w:b w:val="0"/>
          <w:color w:val="333333"/>
          <w:sz w:val="24"/>
          <w:szCs w:val="24"/>
        </w:rPr>
      </w:pPr>
      <w:r>
        <w:rPr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必游景点TOP5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40" w:lineRule="atLeast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FF9D00"/>
        </w:rPr>
        <w:t>1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"http://www.mafengwo.cn/poi/5515392.html" \o "台北故宫博物院"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t>台北故宫博物院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"http://www.mafengwo.cn/poi/5515392.html" \o "台北故宫博物院"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t>6505 条点评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 w:line="288" w:lineRule="atLeast"/>
        <w:ind w:left="0" w:right="0"/>
        <w:rPr>
          <w:sz w:val="19"/>
          <w:szCs w:val="19"/>
        </w:rPr>
      </w:pPr>
      <w:r>
        <w:rPr>
          <w:rFonts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</w:rPr>
        <w:t>中国三大博物馆之一，中华历史文化的精粹所在，浩瀚藏品让人叹为观止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这里还包含景点：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"http://www.mafengwo.cn/poi/7919183.html"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张大千纪念馆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"http://www.mafengwo.cn/poi/26917.html"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故宫晶华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"http://www.mafengwo.cn/poi/5515402.html"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富春居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"http://www.mafengwo.cn/poi/6131168.html"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至善园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"http://www.mafengwo.cn/poi/5515392.html" \o "台北故宫博物院"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12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3619500" cy="2571750"/>
            <wp:effectExtent l="0" t="0" r="7620" b="381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00" w:afterAutospacing="0" w:line="240" w:lineRule="atLeast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FF9D00"/>
        </w:rPr>
        <w:t>2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"http://www.mafengwo.cn/poi/586.html" \o "101大楼"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t>101大楼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"http://www.mafengwo.cn/poi/586.html" \o "101大楼"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t>4484 条点评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44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</w:rPr>
        <w:t>台北的迷人地标，世界第三高楼，鸟瞰城市夜景的最佳地点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这里还包含景点：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"http://www.mafengwo.cn/poi/5522769.html"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顶鲜101美食美景餐厅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"http://www.mafengwo.cn/poi/104029.html"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台北101景观台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"http://www.mafengwo.cn/poi/6131213.html"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鼎泰丰(101店)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"http://www.mafengwo.cn/poi/26844.html"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欣叶101食艺轩(信义路店)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"http://www.mafengwo.cn/poi/6131425.html"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随意鸟地方101意大利菜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"http://www.mafengwo.cn/poi/586.html" \o "101大楼"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12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3619500" cy="2571750"/>
            <wp:effectExtent l="0" t="0" r="7620" b="381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36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00" w:afterAutospacing="0" w:line="240" w:lineRule="atLeast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FF9D00"/>
        </w:rPr>
        <w:t>3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"http://www.mafengwo.cn/poi/769.html" \o "中正纪念堂"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t>中正纪念堂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"http://www.mafengwo.cn/poi/769.html" \o "中正纪念堂"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t>2841 条点评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44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</w:rPr>
        <w:t>台北最宏伟的纪念展览馆，整点的卫兵换岗仪式酷炫指数爆棚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这里还包含景点：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"http://www.mafengwo.cn/poi/5441828.html"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自由广场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"http://www.mafengwo.cn/poi/5430058.html"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国家戏剧院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"http://www.mafengwo.cn/poi/6131133.html"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国家音乐厅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"http://www.mafengwo.cn/poi/5522347.html"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国立中正文化中心表演艺术图书馆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"http://www.mafengwo.cn/poi/769.html" \o "中正纪念堂"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12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3619500" cy="2571750"/>
            <wp:effectExtent l="0" t="0" r="7620" b="381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bookmarkStart w:id="0" w:name="_GoBack"/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36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00" w:afterAutospacing="0" w:line="240" w:lineRule="atLeast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FF9D00"/>
        </w:rPr>
        <w:t>4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"http://www.mafengwo.cn/poi/940.html" \o "太鲁阁公园"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t>太鲁阁公园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"http://www.mafengwo.cn/poi/940.html" \o "太鲁阁公园"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t>2412 条点评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44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</w:rPr>
        <w:t>以奇险的峡谷断崖著称，是台湾著名的国家森林公园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textAlignment w:val="center"/>
        <w:rPr>
          <w:rFonts w:hint="default" w:ascii="Arial" w:hAnsi="Arial" w:cs="Arial"/>
          <w:b w:val="0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这里还包含景点：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"http://www.mafengwo.cn/poi/5810793.html"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砂卡当步道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"http://www.mafengwo.cn/poi/6042377.html"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燕子口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"http://www.mafengwo.cn/poi/6299281.html"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长春祠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"http://www.mafengwo.cn/poi/6336395.html"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白杨步道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"http://www.mafengwo.cn/poi/33678244.html"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6"/>
          <w:szCs w:val="16"/>
          <w:u w:val="none"/>
          <w:bdr w:val="none" w:color="auto" w:sz="0" w:space="0"/>
        </w:rPr>
        <w:t>布洛湾游憩区</w: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"http://www.mafengwo.cn/poi/940.html" \o "太鲁阁公园"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12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3619500" cy="2571750"/>
            <wp:effectExtent l="0" t="0" r="7620" b="381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36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300" w:afterAutospacing="0" w:line="240" w:lineRule="atLeast"/>
        <w:ind w:left="0" w:right="0"/>
        <w:rPr>
          <w:b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FF9D00"/>
        </w:rPr>
        <w:t>5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"http://www.mafengwo.cn/poi/6333319.html" \o "垦丁大街/垦丁大街夜市"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t>垦丁大街/垦丁大街夜市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instrText xml:space="preserve"> HYPERLINK "http://www.mafengwo.cn/poi/6333319.html" \o "垦丁大街/垦丁大街夜市" \t "http://www.mafengwo.cn/jd/12684/_blank" </w:instrTex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t>3187 条点评</w:t>
      </w:r>
      <w:r>
        <w:rPr>
          <w:b w:val="0"/>
          <w:i w:val="0"/>
          <w:caps w:val="0"/>
          <w:color w:val="FF9D00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144" w:afterAutospacing="0" w:line="288" w:lineRule="atLeast"/>
        <w:ind w:left="0" w:right="0"/>
        <w:rPr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19"/>
          <w:szCs w:val="19"/>
          <w:bdr w:val="none" w:color="auto" w:sz="0" w:space="0"/>
        </w:rPr>
        <w:t>来垦丁游玩的游客傍晚必逛的景点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"http://www.mafengwo.cn/poi/6333319.html" \o "垦丁大街/垦丁大街夜市" \t "http://www.mafengwo.cn/jd/12684/_blank"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12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3619500" cy="2571750"/>
            <wp:effectExtent l="0" t="0" r="7620" b="381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FF9D00"/>
          <w:spacing w:val="0"/>
          <w:sz w:val="14"/>
          <w:szCs w:val="14"/>
          <w:u w:val="none"/>
        </w:rPr>
      </w:pPr>
      <w:r>
        <w:rPr>
          <w:rStyle w:val="6"/>
          <w:rFonts w:hint="default" w:ascii="Arial" w:hAnsi="Arial" w:eastAsia="宋体" w:cs="Arial"/>
          <w:b w:val="0"/>
          <w:i w:val="0"/>
          <w:caps w:val="0"/>
          <w:color w:val="FF9D00"/>
          <w:spacing w:val="0"/>
          <w:sz w:val="14"/>
          <w:szCs w:val="14"/>
          <w:u w:val="none"/>
          <w:bdr w:val="none" w:color="auto" w:sz="0" w:space="0"/>
        </w:rPr>
        <w:drawing>
          <wp:inline distT="0" distB="0" distL="114300" distR="114300">
            <wp:extent cx="1762125" cy="1238250"/>
            <wp:effectExtent l="0" t="0" r="5715" b="1143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360" w:beforeAutospacing="0" w:after="0" w:afterAutospacing="0"/>
        <w:ind w:left="0" w:right="0"/>
        <w:jc w:val="left"/>
        <w:rPr>
          <w:b w:val="0"/>
          <w:color w:val="333333"/>
          <w:sz w:val="24"/>
          <w:szCs w:val="24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9D00"/>
          <w:spacing w:val="0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10C0"/>
    <w:rsid w:val="3EBE5E1F"/>
    <w:rsid w:val="6E7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2018-12-31T13:32:36Z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