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47E8" w14:textId="716F560B" w:rsidR="007C19F7" w:rsidRPr="00C55A94" w:rsidRDefault="007C19F7" w:rsidP="007C19F7">
      <w:pPr>
        <w:jc w:val="center"/>
        <w:rPr>
          <w:rFonts w:ascii="Times New Roman" w:eastAsia="Times New Roman" w:hAnsi="Times New Roman" w:cs="Times New Roman"/>
          <w:sz w:val="32"/>
          <w:szCs w:val="32"/>
        </w:rPr>
      </w:pPr>
      <w:r w:rsidRPr="00C55A94">
        <w:rPr>
          <w:rFonts w:ascii="Times New Roman" w:eastAsia="Times New Roman" w:hAnsi="Times New Roman" w:cs="Times New Roman"/>
          <w:sz w:val="32"/>
          <w:szCs w:val="32"/>
        </w:rPr>
        <w:t>FIN3018 Financial Econometrics and Data Science</w:t>
      </w:r>
      <w:r w:rsidRPr="00C55A94">
        <w:rPr>
          <w:rFonts w:ascii="Times New Roman" w:hAnsi="Times New Roman" w:cs="Times New Roman"/>
        </w:rPr>
        <w:br/>
      </w:r>
      <w:r w:rsidRPr="00C55A94">
        <w:rPr>
          <w:rFonts w:ascii="Times New Roman" w:hAnsi="Times New Roman" w:cs="Times New Roman"/>
        </w:rPr>
        <w:br/>
      </w:r>
      <w:r w:rsidRPr="00C55A94">
        <w:rPr>
          <w:rFonts w:ascii="Times New Roman" w:eastAsia="Times New Roman" w:hAnsi="Times New Roman" w:cs="Times New Roman"/>
          <w:sz w:val="32"/>
          <w:szCs w:val="32"/>
        </w:rPr>
        <w:t>Time Series Modelling: Mean vs Volatility</w:t>
      </w:r>
      <w:r w:rsidRPr="00C55A94">
        <w:rPr>
          <w:rFonts w:ascii="Times New Roman" w:hAnsi="Times New Roman" w:cs="Times New Roman"/>
        </w:rPr>
        <w:br/>
      </w:r>
      <w:r w:rsidRPr="00C55A94">
        <w:rPr>
          <w:rFonts w:ascii="Times New Roman" w:eastAsia="Times New Roman" w:hAnsi="Times New Roman" w:cs="Times New Roman"/>
          <w:sz w:val="32"/>
          <w:szCs w:val="32"/>
        </w:rPr>
        <w:t>Dynamics</w:t>
      </w:r>
      <w:r w:rsidRPr="00C55A94">
        <w:rPr>
          <w:rFonts w:ascii="Times New Roman" w:hAnsi="Times New Roman" w:cs="Times New Roman"/>
        </w:rPr>
        <w:br/>
      </w:r>
      <w:r w:rsidR="004B2212" w:rsidRPr="00C55A94">
        <w:rPr>
          <w:rFonts w:ascii="Times New Roman" w:hAnsi="Times New Roman" w:cs="Times New Roman" w:hint="eastAsia"/>
          <w:sz w:val="32"/>
          <w:szCs w:val="32"/>
        </w:rPr>
        <w:t>Individual</w:t>
      </w:r>
      <w:r w:rsidRPr="00C55A94">
        <w:rPr>
          <w:rFonts w:ascii="Times New Roman" w:eastAsia="Times New Roman" w:hAnsi="Times New Roman" w:cs="Times New Roman"/>
          <w:sz w:val="32"/>
          <w:szCs w:val="32"/>
        </w:rPr>
        <w:t xml:space="preserve"> Project </w:t>
      </w:r>
    </w:p>
    <w:p w14:paraId="5B967D46" w14:textId="77777777" w:rsidR="007C19F7" w:rsidRPr="00C55A94" w:rsidRDefault="007C19F7" w:rsidP="007C19F7">
      <w:pPr>
        <w:jc w:val="center"/>
        <w:rPr>
          <w:rFonts w:ascii="Times New Roman" w:eastAsia="Times New Roman" w:hAnsi="Times New Roman" w:cs="Times New Roman"/>
          <w:sz w:val="32"/>
          <w:szCs w:val="32"/>
        </w:rPr>
      </w:pPr>
      <w:r w:rsidRPr="00C55A94">
        <w:rPr>
          <w:rFonts w:ascii="Times New Roman" w:eastAsia="Times New Roman" w:hAnsi="Times New Roman" w:cs="Times New Roman"/>
          <w:sz w:val="32"/>
          <w:szCs w:val="32"/>
        </w:rPr>
        <w:t>AY 2025/2026</w:t>
      </w:r>
    </w:p>
    <w:p w14:paraId="3750D925" w14:textId="77777777" w:rsidR="007C19F7" w:rsidRPr="00C55A94" w:rsidRDefault="007C19F7" w:rsidP="007C19F7">
      <w:pPr>
        <w:jc w:val="center"/>
        <w:rPr>
          <w:rFonts w:ascii="Times New Roman" w:hAnsi="Times New Roman" w:cs="Times New Roman"/>
          <w:sz w:val="32"/>
          <w:szCs w:val="32"/>
        </w:rPr>
      </w:pPr>
    </w:p>
    <w:p w14:paraId="5BFEC1F8" w14:textId="77777777" w:rsidR="007C19F7" w:rsidRPr="00C55A94" w:rsidRDefault="007C19F7" w:rsidP="007C19F7">
      <w:pPr>
        <w:jc w:val="center"/>
        <w:rPr>
          <w:rFonts w:ascii="Times New Roman" w:hAnsi="Times New Roman" w:cs="Times New Roman"/>
          <w:sz w:val="32"/>
          <w:szCs w:val="32"/>
        </w:rPr>
      </w:pPr>
    </w:p>
    <w:p w14:paraId="3C102BCB" w14:textId="77777777" w:rsidR="007C19F7" w:rsidRPr="00C55A94" w:rsidRDefault="007C19F7" w:rsidP="007C19F7">
      <w:pPr>
        <w:jc w:val="center"/>
        <w:rPr>
          <w:rFonts w:ascii="Times New Roman" w:hAnsi="Times New Roman" w:cs="Times New Roman"/>
          <w:sz w:val="32"/>
          <w:szCs w:val="32"/>
        </w:rPr>
      </w:pPr>
    </w:p>
    <w:p w14:paraId="10F21E0B" w14:textId="77777777" w:rsidR="007C19F7" w:rsidRPr="00C55A94" w:rsidRDefault="007C19F7" w:rsidP="007C19F7">
      <w:pPr>
        <w:jc w:val="center"/>
        <w:rPr>
          <w:rFonts w:ascii="Times New Roman" w:hAnsi="Times New Roman" w:cs="Times New Roman"/>
          <w:sz w:val="32"/>
          <w:szCs w:val="32"/>
        </w:rPr>
      </w:pPr>
    </w:p>
    <w:p w14:paraId="7FA883B0" w14:textId="77777777" w:rsidR="007C19F7" w:rsidRPr="00C55A94" w:rsidRDefault="007C19F7" w:rsidP="007C19F7">
      <w:pPr>
        <w:jc w:val="center"/>
        <w:rPr>
          <w:rFonts w:ascii="Times New Roman" w:hAnsi="Times New Roman" w:cs="Times New Roman"/>
          <w:sz w:val="32"/>
          <w:szCs w:val="32"/>
        </w:rPr>
      </w:pPr>
    </w:p>
    <w:p w14:paraId="6FADEFAE" w14:textId="77777777" w:rsidR="00D9149F" w:rsidRPr="00C55A94" w:rsidRDefault="00D9149F" w:rsidP="007C19F7">
      <w:pPr>
        <w:jc w:val="center"/>
        <w:rPr>
          <w:rFonts w:ascii="Times New Roman" w:hAnsi="Times New Roman" w:cs="Times New Roman"/>
          <w:sz w:val="32"/>
          <w:szCs w:val="32"/>
        </w:rPr>
      </w:pPr>
    </w:p>
    <w:p w14:paraId="2C19453A" w14:textId="77777777" w:rsidR="00D9149F" w:rsidRPr="00C55A94" w:rsidRDefault="00D9149F" w:rsidP="007C19F7">
      <w:pPr>
        <w:jc w:val="center"/>
        <w:rPr>
          <w:rFonts w:ascii="Times New Roman" w:hAnsi="Times New Roman" w:cs="Times New Roman"/>
          <w:sz w:val="32"/>
          <w:szCs w:val="32"/>
        </w:rPr>
      </w:pPr>
    </w:p>
    <w:p w14:paraId="30B75C7C" w14:textId="77777777" w:rsidR="007C19F7" w:rsidRPr="00C55A94" w:rsidRDefault="007C19F7" w:rsidP="007C19F7">
      <w:pPr>
        <w:jc w:val="center"/>
        <w:rPr>
          <w:rFonts w:ascii="Times New Roman" w:hAnsi="Times New Roman" w:cs="Times New Roman"/>
          <w:sz w:val="32"/>
          <w:szCs w:val="32"/>
        </w:rPr>
      </w:pPr>
    </w:p>
    <w:p w14:paraId="584AC784" w14:textId="77777777" w:rsidR="007C19F7" w:rsidRPr="00C55A94" w:rsidRDefault="007C19F7" w:rsidP="007C19F7">
      <w:pPr>
        <w:jc w:val="center"/>
        <w:rPr>
          <w:rFonts w:ascii="Times New Roman" w:eastAsia="Times New Roman" w:hAnsi="Times New Roman" w:cs="Times New Roman"/>
          <w:sz w:val="28"/>
          <w:szCs w:val="28"/>
        </w:rPr>
      </w:pPr>
      <w:r w:rsidRPr="00C55A94">
        <w:rPr>
          <w:rFonts w:ascii="Times New Roman" w:eastAsia="Times New Roman" w:hAnsi="Times New Roman" w:cs="Times New Roman"/>
          <w:sz w:val="28"/>
          <w:szCs w:val="28"/>
        </w:rPr>
        <w:t>Group: S</w:t>
      </w:r>
    </w:p>
    <w:p w14:paraId="47D4FC87" w14:textId="56B6FF79" w:rsidR="007C19F7" w:rsidRPr="00C55A94" w:rsidRDefault="007C19F7" w:rsidP="007C19F7">
      <w:pPr>
        <w:jc w:val="center"/>
        <w:rPr>
          <w:rFonts w:ascii="Times New Roman" w:hAnsi="Times New Roman" w:cs="Times New Roman"/>
        </w:rPr>
      </w:pPr>
      <w:r w:rsidRPr="00C55A94">
        <w:rPr>
          <w:rFonts w:ascii="Times New Roman" w:eastAsia="Times New Roman" w:hAnsi="Times New Roman" w:cs="Times New Roman"/>
          <w:sz w:val="28"/>
          <w:szCs w:val="28"/>
        </w:rPr>
        <w:t xml:space="preserve">Assigned data set: S&amp;P 500 Industrials, Period </w:t>
      </w:r>
      <w:r w:rsidRPr="00C55A94">
        <w:rPr>
          <w:rFonts w:ascii="Times New Roman" w:hAnsi="Times New Roman" w:cs="Times New Roman" w:hint="eastAsia"/>
          <w:sz w:val="28"/>
          <w:szCs w:val="28"/>
        </w:rPr>
        <w:t>1</w:t>
      </w:r>
    </w:p>
    <w:p w14:paraId="673FF8EA" w14:textId="4B8BF25B" w:rsidR="007C19F7" w:rsidRPr="00C45D81" w:rsidRDefault="007C19F7" w:rsidP="007C19F7">
      <w:pPr>
        <w:jc w:val="center"/>
        <w:rPr>
          <w:rFonts w:ascii="Times New Roman" w:hAnsi="Times New Roman" w:cs="Times New Roman" w:hint="eastAsia"/>
          <w:sz w:val="28"/>
          <w:szCs w:val="28"/>
        </w:rPr>
      </w:pPr>
      <w:r w:rsidRPr="00C55A94">
        <w:rPr>
          <w:rFonts w:ascii="Times New Roman" w:eastAsia="Times New Roman" w:hAnsi="Times New Roman" w:cs="Times New Roman"/>
          <w:sz w:val="28"/>
          <w:szCs w:val="28"/>
        </w:rPr>
        <w:t>Ziyi Wu</w:t>
      </w:r>
    </w:p>
    <w:p w14:paraId="3D1B2755" w14:textId="06DF33DB" w:rsidR="007C19F7" w:rsidRPr="00C55A94" w:rsidRDefault="007C19F7" w:rsidP="00D9149F">
      <w:pPr>
        <w:jc w:val="center"/>
        <w:rPr>
          <w:rFonts w:ascii="Times New Roman" w:hAnsi="Times New Roman" w:cs="Times New Roman"/>
          <w:i/>
          <w:iCs/>
          <w:sz w:val="28"/>
          <w:szCs w:val="28"/>
        </w:rPr>
      </w:pPr>
      <w:r w:rsidRPr="00C55A94">
        <w:rPr>
          <w:rFonts w:ascii="Times New Roman" w:eastAsia="Times New Roman" w:hAnsi="Times New Roman" w:cs="Times New Roman"/>
          <w:i/>
          <w:iCs/>
          <w:sz w:val="28"/>
          <w:szCs w:val="28"/>
        </w:rPr>
        <w:t>Word count:</w:t>
      </w:r>
      <w:r w:rsidR="00D9149F" w:rsidRPr="00C55A94">
        <w:rPr>
          <w:rFonts w:ascii="Times New Roman" w:hAnsi="Times New Roman" w:cs="Times New Roman" w:hint="eastAsia"/>
          <w:i/>
          <w:iCs/>
          <w:sz w:val="28"/>
          <w:szCs w:val="28"/>
        </w:rPr>
        <w:t>99</w:t>
      </w:r>
      <w:r w:rsidR="001B5C83">
        <w:rPr>
          <w:rFonts w:ascii="Times New Roman" w:hAnsi="Times New Roman" w:cs="Times New Roman" w:hint="eastAsia"/>
          <w:i/>
          <w:iCs/>
          <w:sz w:val="28"/>
          <w:szCs w:val="28"/>
        </w:rPr>
        <w:t>7</w:t>
      </w:r>
      <w:r w:rsidRPr="00C55A94">
        <w:rPr>
          <w:rFonts w:ascii="Times New Roman" w:eastAsia="Times New Roman" w:hAnsi="Times New Roman" w:cs="Times New Roman"/>
          <w:i/>
          <w:iCs/>
          <w:sz w:val="28"/>
          <w:szCs w:val="28"/>
        </w:rPr>
        <w:t xml:space="preserve"> (inc. titles)</w:t>
      </w:r>
    </w:p>
    <w:p w14:paraId="5EC5C76C" w14:textId="77777777" w:rsidR="004B2212" w:rsidRPr="00C55A94" w:rsidRDefault="004B2212" w:rsidP="00D9149F">
      <w:pPr>
        <w:jc w:val="center"/>
        <w:rPr>
          <w:rFonts w:ascii="Times New Roman" w:hAnsi="Times New Roman" w:cs="Times New Roman"/>
          <w:i/>
          <w:iCs/>
          <w:sz w:val="28"/>
          <w:szCs w:val="28"/>
        </w:rPr>
      </w:pPr>
    </w:p>
    <w:p w14:paraId="2D4A98D1" w14:textId="77777777" w:rsidR="004B2212" w:rsidRPr="00C55A94" w:rsidRDefault="004B2212" w:rsidP="004B2212">
      <w:pPr>
        <w:widowControl/>
        <w:spacing w:line="259" w:lineRule="auto"/>
        <w:rPr>
          <w:rFonts w:ascii="Calibri" w:eastAsia="等线" w:hAnsi="Calibri" w:cs="Times New Roman"/>
          <w:b/>
          <w:bCs/>
          <w:szCs w:val="22"/>
          <w:lang w:eastAsia="en-US"/>
        </w:rPr>
      </w:pPr>
      <w:r w:rsidRPr="00C55A94">
        <w:rPr>
          <w:rFonts w:ascii="Calibri" w:eastAsia="等线" w:hAnsi="Calibri" w:cs="Times New Roman"/>
          <w:b/>
          <w:bCs/>
          <w:szCs w:val="22"/>
          <w:lang w:eastAsia="en-US"/>
        </w:rPr>
        <w:lastRenderedPageBreak/>
        <w:t>FIN3018 Financial Econometrics and Data Science</w:t>
      </w:r>
    </w:p>
    <w:p w14:paraId="21D557A1" w14:textId="77777777" w:rsidR="004B2212" w:rsidRPr="00C55A94" w:rsidRDefault="004B2212" w:rsidP="004B2212">
      <w:pPr>
        <w:widowControl/>
        <w:spacing w:line="259" w:lineRule="auto"/>
        <w:rPr>
          <w:rFonts w:ascii="Calibri" w:eastAsia="等线" w:hAnsi="Calibri" w:cs="Times New Roman"/>
          <w:b/>
          <w:bCs/>
          <w:szCs w:val="22"/>
          <w:lang w:eastAsia="en-US"/>
        </w:rPr>
      </w:pPr>
      <w:r w:rsidRPr="00C55A94">
        <w:rPr>
          <w:rFonts w:ascii="Calibri" w:eastAsia="等线" w:hAnsi="Calibri" w:cs="Times New Roman"/>
          <w:b/>
          <w:bCs/>
          <w:szCs w:val="22"/>
          <w:lang w:eastAsia="en-US"/>
        </w:rPr>
        <w:t>Coursework submission form</w:t>
      </w:r>
    </w:p>
    <w:p w14:paraId="108F7CD4" w14:textId="77777777" w:rsidR="004B2212" w:rsidRPr="00C55A94" w:rsidRDefault="004B2212" w:rsidP="004B2212">
      <w:pPr>
        <w:widowControl/>
        <w:spacing w:line="259" w:lineRule="auto"/>
        <w:rPr>
          <w:rFonts w:ascii="Calibri" w:eastAsia="等线" w:hAnsi="Calibri" w:cs="Times New Roman"/>
          <w:szCs w:val="22"/>
          <w:lang w:eastAsia="en-US"/>
        </w:rPr>
      </w:pPr>
    </w:p>
    <w:p w14:paraId="70E92D99" w14:textId="77777777" w:rsidR="00C45D81" w:rsidRDefault="004B2212" w:rsidP="004B2212">
      <w:pPr>
        <w:widowControl/>
        <w:spacing w:line="259" w:lineRule="auto"/>
        <w:rPr>
          <w:rFonts w:ascii="Calibri" w:eastAsia="等线" w:hAnsi="Calibri" w:cs="Times New Roman"/>
          <w:i/>
          <w:iCs/>
          <w:szCs w:val="22"/>
        </w:rPr>
      </w:pPr>
      <w:r w:rsidRPr="00C55A94">
        <w:rPr>
          <w:rFonts w:ascii="Calibri" w:eastAsia="等线" w:hAnsi="Calibri" w:cs="Times New Roman"/>
          <w:i/>
          <w:iCs/>
          <w:szCs w:val="22"/>
          <w:lang w:eastAsia="en-US"/>
        </w:rPr>
        <w:t>Name:</w:t>
      </w:r>
      <w:r w:rsidRPr="00C55A94">
        <w:rPr>
          <w:rFonts w:ascii="Calibri" w:eastAsia="等线" w:hAnsi="Calibri" w:cs="Times New Roman" w:hint="eastAsia"/>
          <w:i/>
          <w:iCs/>
          <w:szCs w:val="22"/>
        </w:rPr>
        <w:t xml:space="preserve"> Z</w:t>
      </w:r>
      <w:r w:rsidRPr="00C55A94">
        <w:rPr>
          <w:rFonts w:ascii="Calibri" w:eastAsia="等线" w:hAnsi="Calibri" w:cs="Times New Roman"/>
          <w:i/>
          <w:iCs/>
          <w:szCs w:val="22"/>
        </w:rPr>
        <w:t>iyi</w:t>
      </w:r>
      <w:r w:rsidRPr="00C55A94">
        <w:rPr>
          <w:rFonts w:ascii="Calibri" w:eastAsia="等线" w:hAnsi="Calibri" w:cs="Times New Roman" w:hint="eastAsia"/>
          <w:i/>
          <w:iCs/>
          <w:szCs w:val="22"/>
        </w:rPr>
        <w:t xml:space="preserve"> Wu</w:t>
      </w:r>
    </w:p>
    <w:p w14:paraId="23665417" w14:textId="12F23508" w:rsidR="004B2212" w:rsidRPr="00C55A94" w:rsidRDefault="004B2212" w:rsidP="004B2212">
      <w:pPr>
        <w:widowControl/>
        <w:spacing w:line="259" w:lineRule="auto"/>
        <w:rPr>
          <w:rFonts w:ascii="Calibri" w:eastAsia="等线" w:hAnsi="Calibri" w:cs="Times New Roman"/>
          <w:i/>
          <w:iCs/>
          <w:szCs w:val="22"/>
        </w:rPr>
      </w:pPr>
      <w:r w:rsidRPr="00C55A94">
        <w:rPr>
          <w:rFonts w:ascii="Calibri" w:eastAsia="等线" w:hAnsi="Calibri" w:cs="Times New Roman"/>
          <w:i/>
          <w:iCs/>
          <w:szCs w:val="22"/>
          <w:lang w:eastAsia="en-US"/>
        </w:rPr>
        <w:t>Group:</w:t>
      </w:r>
      <w:r w:rsidRPr="00C55A94">
        <w:rPr>
          <w:rFonts w:ascii="Calibri" w:eastAsia="等线" w:hAnsi="Calibri" w:cs="Times New Roman" w:hint="eastAsia"/>
          <w:i/>
          <w:iCs/>
          <w:szCs w:val="22"/>
        </w:rPr>
        <w:t xml:space="preserve"> S</w:t>
      </w:r>
    </w:p>
    <w:p w14:paraId="27B4AA5C" w14:textId="77777777" w:rsidR="004B2212" w:rsidRPr="00C55A94" w:rsidRDefault="004B2212" w:rsidP="004B2212">
      <w:pPr>
        <w:widowControl/>
        <w:spacing w:line="259" w:lineRule="auto"/>
        <w:rPr>
          <w:rFonts w:ascii="Calibri" w:eastAsia="等线" w:hAnsi="Calibri" w:cs="Times New Roman"/>
          <w:szCs w:val="22"/>
          <w:lang w:eastAsia="en-US"/>
        </w:rPr>
      </w:pPr>
    </w:p>
    <w:p w14:paraId="58F84125" w14:textId="77777777" w:rsidR="004B2212" w:rsidRPr="00C55A94" w:rsidRDefault="00000000" w:rsidP="004B2212">
      <w:pPr>
        <w:widowControl/>
        <w:spacing w:line="259" w:lineRule="auto"/>
        <w:rPr>
          <w:rFonts w:ascii="Calibri" w:eastAsia="等线" w:hAnsi="Calibri" w:cs="Times New Roman"/>
          <w:szCs w:val="22"/>
          <w:lang w:eastAsia="en-US"/>
        </w:rPr>
      </w:pPr>
      <w:sdt>
        <w:sdtPr>
          <w:rPr>
            <w:rFonts w:ascii="Calibri" w:eastAsia="等线" w:hAnsi="Calibri" w:cs="Times New Roman"/>
            <w:szCs w:val="22"/>
            <w:lang w:eastAsia="en-US"/>
          </w:rPr>
          <w:id w:val="-1980364248"/>
          <w14:checkbox>
            <w14:checked w14:val="1"/>
            <w14:checkedState w14:val="2612" w14:font="MS Gothic"/>
            <w14:uncheckedState w14:val="2610" w14:font="MS Gothic"/>
          </w14:checkbox>
        </w:sdtPr>
        <w:sdtContent>
          <w:r w:rsidR="004B2212" w:rsidRPr="00C55A94">
            <w:rPr>
              <w:rFonts w:ascii="Segoe UI Symbol" w:eastAsia="等线" w:hAnsi="Segoe UI Symbol" w:cs="Segoe UI Symbol"/>
              <w:szCs w:val="22"/>
              <w:lang w:eastAsia="en-US"/>
            </w:rPr>
            <w:t>☒</w:t>
          </w:r>
        </w:sdtContent>
      </w:sdt>
      <w:r w:rsidR="004B2212" w:rsidRPr="00C55A94">
        <w:rPr>
          <w:rFonts w:ascii="Calibri" w:eastAsia="等线" w:hAnsi="Calibri" w:cs="Times New Roman"/>
          <w:szCs w:val="22"/>
          <w:lang w:eastAsia="en-US"/>
        </w:rPr>
        <w:t xml:space="preserve"> I declare that the work submitted represents my own work. I declare that the work has not been taken from the works of others save where appropriately referenced.</w:t>
      </w:r>
    </w:p>
    <w:p w14:paraId="46E80B59" w14:textId="77777777" w:rsidR="004B2212" w:rsidRPr="00C55A94" w:rsidRDefault="00000000" w:rsidP="004B2212">
      <w:pPr>
        <w:widowControl/>
        <w:spacing w:line="259" w:lineRule="auto"/>
        <w:rPr>
          <w:rFonts w:ascii="Calibri" w:eastAsia="等线" w:hAnsi="Calibri" w:cs="Times New Roman"/>
          <w:szCs w:val="22"/>
          <w:lang w:eastAsia="en-US"/>
        </w:rPr>
      </w:pPr>
      <w:sdt>
        <w:sdtPr>
          <w:rPr>
            <w:rFonts w:ascii="Calibri" w:eastAsia="等线" w:hAnsi="Calibri" w:cs="Times New Roman"/>
            <w:szCs w:val="22"/>
            <w:lang w:eastAsia="en-US"/>
          </w:rPr>
          <w:id w:val="366722620"/>
          <w14:checkbox>
            <w14:checked w14:val="1"/>
            <w14:checkedState w14:val="2612" w14:font="MS Gothic"/>
            <w14:uncheckedState w14:val="2610" w14:font="MS Gothic"/>
          </w14:checkbox>
        </w:sdtPr>
        <w:sdtContent>
          <w:r w:rsidR="004B2212" w:rsidRPr="00C55A94">
            <w:rPr>
              <w:rFonts w:ascii="Segoe UI Symbol" w:eastAsia="等线" w:hAnsi="Segoe UI Symbol" w:cs="Segoe UI Symbol"/>
              <w:szCs w:val="22"/>
              <w:lang w:eastAsia="en-US"/>
            </w:rPr>
            <w:t>☒</w:t>
          </w:r>
        </w:sdtContent>
      </w:sdt>
      <w:r w:rsidR="004B2212" w:rsidRPr="00C55A94">
        <w:rPr>
          <w:rFonts w:ascii="Calibri" w:eastAsia="等线" w:hAnsi="Calibri" w:cs="Times New Roman"/>
          <w:szCs w:val="22"/>
          <w:lang w:eastAsia="en-US"/>
        </w:rPr>
        <w:t xml:space="preserve"> I declare that all use of generative AI has been detailed in this document.</w:t>
      </w:r>
    </w:p>
    <w:p w14:paraId="4F08262E" w14:textId="77777777" w:rsidR="004B2212" w:rsidRPr="00C55A94" w:rsidRDefault="00000000" w:rsidP="004B2212">
      <w:pPr>
        <w:widowControl/>
        <w:spacing w:line="259" w:lineRule="auto"/>
        <w:rPr>
          <w:rFonts w:ascii="Calibri" w:eastAsia="等线" w:hAnsi="Calibri" w:cs="Times New Roman"/>
          <w:szCs w:val="22"/>
          <w:lang w:eastAsia="en-US"/>
        </w:rPr>
      </w:pPr>
      <w:sdt>
        <w:sdtPr>
          <w:rPr>
            <w:rFonts w:ascii="Calibri" w:eastAsia="等线" w:hAnsi="Calibri" w:cs="Times New Roman"/>
            <w:szCs w:val="22"/>
            <w:lang w:eastAsia="en-US"/>
          </w:rPr>
          <w:id w:val="523210116"/>
          <w14:checkbox>
            <w14:checked w14:val="1"/>
            <w14:checkedState w14:val="2612" w14:font="MS Gothic"/>
            <w14:uncheckedState w14:val="2610" w14:font="MS Gothic"/>
          </w14:checkbox>
        </w:sdtPr>
        <w:sdtContent>
          <w:r w:rsidR="004B2212" w:rsidRPr="00C55A94">
            <w:rPr>
              <w:rFonts w:ascii="Segoe UI Symbol" w:eastAsia="等线" w:hAnsi="Segoe UI Symbol" w:cs="Segoe UI Symbol"/>
              <w:szCs w:val="22"/>
              <w:lang w:eastAsia="en-US"/>
            </w:rPr>
            <w:t>☒</w:t>
          </w:r>
        </w:sdtContent>
      </w:sdt>
      <w:r w:rsidR="004B2212" w:rsidRPr="00C55A94">
        <w:rPr>
          <w:rFonts w:ascii="Calibri" w:eastAsia="等线" w:hAnsi="Calibri" w:cs="Times New Roman"/>
          <w:szCs w:val="22"/>
          <w:lang w:eastAsia="en-US"/>
        </w:rPr>
        <w:t xml:space="preserve"> By submitting this form I declare that the items listed below have been added to Canvas. I acknowledge that the report will be considered incomplete without all items listed, and the relevant penalty for late submission will be applied in respect of any omissions:</w:t>
      </w:r>
    </w:p>
    <w:p w14:paraId="06AD8C2E" w14:textId="77777777" w:rsidR="004B2212" w:rsidRPr="00C55A94" w:rsidRDefault="004B2212" w:rsidP="004B2212">
      <w:pPr>
        <w:widowControl/>
        <w:numPr>
          <w:ilvl w:val="0"/>
          <w:numId w:val="6"/>
        </w:numPr>
        <w:spacing w:line="259" w:lineRule="auto"/>
        <w:contextualSpacing/>
        <w:rPr>
          <w:rFonts w:ascii="Calibri" w:eastAsia="等线" w:hAnsi="Calibri" w:cs="Times New Roman"/>
          <w:szCs w:val="22"/>
          <w:lang w:eastAsia="en-US"/>
        </w:rPr>
      </w:pPr>
      <w:r w:rsidRPr="00C55A94">
        <w:rPr>
          <w:rFonts w:ascii="Calibri" w:eastAsia="等线" w:hAnsi="Calibri" w:cs="Times New Roman"/>
          <w:szCs w:val="22"/>
          <w:lang w:eastAsia="en-US"/>
        </w:rPr>
        <w:t>Cover sheet</w:t>
      </w:r>
    </w:p>
    <w:p w14:paraId="4AE76F8A" w14:textId="77777777" w:rsidR="004B2212" w:rsidRPr="00C55A94" w:rsidRDefault="004B2212" w:rsidP="004B2212">
      <w:pPr>
        <w:widowControl/>
        <w:numPr>
          <w:ilvl w:val="0"/>
          <w:numId w:val="6"/>
        </w:numPr>
        <w:spacing w:line="259" w:lineRule="auto"/>
        <w:contextualSpacing/>
        <w:rPr>
          <w:rFonts w:ascii="Calibri" w:eastAsia="等线" w:hAnsi="Calibri" w:cs="Times New Roman"/>
          <w:szCs w:val="22"/>
          <w:lang w:eastAsia="en-US"/>
        </w:rPr>
      </w:pPr>
      <w:r w:rsidRPr="00C55A94">
        <w:rPr>
          <w:rFonts w:ascii="Calibri" w:eastAsia="等线" w:hAnsi="Calibri" w:cs="Times New Roman"/>
          <w:szCs w:val="22"/>
          <w:lang w:eastAsia="en-US"/>
        </w:rPr>
        <w:t>Report, subject to a maximum of 1,000 words</w:t>
      </w:r>
    </w:p>
    <w:p w14:paraId="2BAEEF21" w14:textId="77777777" w:rsidR="004B2212" w:rsidRPr="00C55A94" w:rsidRDefault="004B2212" w:rsidP="004B2212">
      <w:pPr>
        <w:widowControl/>
        <w:numPr>
          <w:ilvl w:val="0"/>
          <w:numId w:val="6"/>
        </w:numPr>
        <w:spacing w:line="259" w:lineRule="auto"/>
        <w:contextualSpacing/>
        <w:rPr>
          <w:rFonts w:ascii="Calibri" w:eastAsia="等线" w:hAnsi="Calibri" w:cs="Times New Roman"/>
          <w:szCs w:val="22"/>
          <w:lang w:eastAsia="en-US"/>
        </w:rPr>
      </w:pPr>
      <w:r w:rsidRPr="00C55A94">
        <w:rPr>
          <w:rFonts w:ascii="Calibri" w:eastAsia="等线" w:hAnsi="Calibri" w:cs="Times New Roman"/>
          <w:szCs w:val="22"/>
          <w:lang w:eastAsia="en-US"/>
        </w:rPr>
        <w:t xml:space="preserve">R Scripts </w:t>
      </w:r>
    </w:p>
    <w:p w14:paraId="2BA47D60" w14:textId="77777777" w:rsidR="004B2212" w:rsidRPr="00C55A94" w:rsidRDefault="004B2212" w:rsidP="00103CF3">
      <w:pPr>
        <w:rPr>
          <w:rFonts w:ascii="Times New Roman" w:hAnsi="Times New Roman" w:cs="Times New Roman"/>
          <w:b/>
          <w:bCs/>
        </w:rPr>
      </w:pPr>
    </w:p>
    <w:p w14:paraId="74AC62F0" w14:textId="77777777" w:rsidR="004B2212" w:rsidRPr="00C55A94" w:rsidRDefault="004B2212" w:rsidP="00103CF3">
      <w:pPr>
        <w:rPr>
          <w:rFonts w:ascii="Times New Roman" w:hAnsi="Times New Roman" w:cs="Times New Roman"/>
          <w:b/>
          <w:bCs/>
        </w:rPr>
      </w:pPr>
    </w:p>
    <w:p w14:paraId="3AF28127" w14:textId="77777777" w:rsidR="004B2212" w:rsidRPr="00C55A94" w:rsidRDefault="004B2212" w:rsidP="00103CF3">
      <w:pPr>
        <w:rPr>
          <w:rFonts w:ascii="Times New Roman" w:hAnsi="Times New Roman" w:cs="Times New Roman"/>
          <w:b/>
          <w:bCs/>
        </w:rPr>
      </w:pPr>
    </w:p>
    <w:p w14:paraId="460DC6BD" w14:textId="77777777" w:rsidR="004B2212" w:rsidRPr="00C55A94" w:rsidRDefault="004B2212" w:rsidP="00103CF3">
      <w:pPr>
        <w:rPr>
          <w:rFonts w:ascii="Times New Roman" w:hAnsi="Times New Roman" w:cs="Times New Roman"/>
          <w:b/>
          <w:bCs/>
        </w:rPr>
      </w:pPr>
    </w:p>
    <w:p w14:paraId="79F4E52E" w14:textId="77777777" w:rsidR="004B2212" w:rsidRPr="00C55A94" w:rsidRDefault="004B2212" w:rsidP="00103CF3">
      <w:pPr>
        <w:rPr>
          <w:rFonts w:ascii="Times New Roman" w:hAnsi="Times New Roman" w:cs="Times New Roman"/>
          <w:b/>
          <w:bCs/>
        </w:rPr>
      </w:pPr>
    </w:p>
    <w:p w14:paraId="4D55B271" w14:textId="77777777" w:rsidR="004B2212" w:rsidRPr="00C55A94" w:rsidRDefault="004B2212" w:rsidP="00103CF3">
      <w:pPr>
        <w:rPr>
          <w:rFonts w:ascii="Times New Roman" w:hAnsi="Times New Roman" w:cs="Times New Roman"/>
          <w:b/>
          <w:bCs/>
        </w:rPr>
      </w:pPr>
    </w:p>
    <w:p w14:paraId="2E34E60A" w14:textId="77777777" w:rsidR="004B2212" w:rsidRPr="00C55A94" w:rsidRDefault="004B2212" w:rsidP="00103CF3">
      <w:pPr>
        <w:rPr>
          <w:rFonts w:ascii="Times New Roman" w:hAnsi="Times New Roman" w:cs="Times New Roman"/>
          <w:b/>
          <w:bCs/>
        </w:rPr>
      </w:pPr>
    </w:p>
    <w:p w14:paraId="000A1CD3" w14:textId="77777777" w:rsidR="004B2212" w:rsidRPr="00C55A94" w:rsidRDefault="004B2212" w:rsidP="00103CF3">
      <w:pPr>
        <w:rPr>
          <w:rFonts w:ascii="Times New Roman" w:hAnsi="Times New Roman" w:cs="Times New Roman"/>
          <w:b/>
          <w:bCs/>
        </w:rPr>
      </w:pPr>
    </w:p>
    <w:p w14:paraId="6DFCABCD" w14:textId="77777777" w:rsidR="004B2212" w:rsidRPr="00C55A94" w:rsidRDefault="004B2212" w:rsidP="00103CF3">
      <w:pPr>
        <w:rPr>
          <w:rFonts w:ascii="Times New Roman" w:hAnsi="Times New Roman" w:cs="Times New Roman"/>
          <w:b/>
          <w:bCs/>
        </w:rPr>
      </w:pPr>
    </w:p>
    <w:p w14:paraId="7044ED40" w14:textId="77777777" w:rsidR="004B2212" w:rsidRPr="00C55A94" w:rsidRDefault="004B2212" w:rsidP="00103CF3">
      <w:pPr>
        <w:rPr>
          <w:rFonts w:ascii="Times New Roman" w:hAnsi="Times New Roman" w:cs="Times New Roman"/>
          <w:b/>
          <w:bCs/>
        </w:rPr>
      </w:pPr>
    </w:p>
    <w:p w14:paraId="25F16533" w14:textId="77777777" w:rsidR="004B2212" w:rsidRPr="00C55A94" w:rsidRDefault="004B2212" w:rsidP="00103CF3">
      <w:pPr>
        <w:rPr>
          <w:rFonts w:ascii="Times New Roman" w:hAnsi="Times New Roman" w:cs="Times New Roman"/>
          <w:b/>
          <w:bCs/>
        </w:rPr>
      </w:pPr>
    </w:p>
    <w:p w14:paraId="591D9D89" w14:textId="77777777" w:rsidR="004B2212" w:rsidRPr="00C55A94" w:rsidRDefault="004B2212" w:rsidP="00103CF3">
      <w:pPr>
        <w:rPr>
          <w:rFonts w:ascii="Times New Roman" w:hAnsi="Times New Roman" w:cs="Times New Roman"/>
          <w:b/>
          <w:bCs/>
        </w:rPr>
      </w:pPr>
    </w:p>
    <w:p w14:paraId="311569BA" w14:textId="77777777" w:rsidR="004B2212" w:rsidRPr="00C55A94" w:rsidRDefault="004B2212" w:rsidP="00103CF3">
      <w:pPr>
        <w:rPr>
          <w:rFonts w:ascii="Times New Roman" w:hAnsi="Times New Roman" w:cs="Times New Roman"/>
          <w:b/>
          <w:bCs/>
        </w:rPr>
      </w:pPr>
    </w:p>
    <w:p w14:paraId="7A54434E" w14:textId="1805C9A4" w:rsidR="00C846DD" w:rsidRPr="00C55A94" w:rsidRDefault="00C846DD" w:rsidP="002F47AE">
      <w:pPr>
        <w:pStyle w:val="Heading1"/>
        <w:rPr>
          <w:sz w:val="30"/>
          <w:szCs w:val="30"/>
        </w:rPr>
      </w:pPr>
      <w:r w:rsidRPr="00C55A94">
        <w:rPr>
          <w:rFonts w:hint="eastAsia"/>
          <w:sz w:val="30"/>
          <w:szCs w:val="30"/>
        </w:rPr>
        <w:lastRenderedPageBreak/>
        <w:t>Introduction</w:t>
      </w:r>
    </w:p>
    <w:p w14:paraId="2822893A" w14:textId="745DF9F1" w:rsidR="00ED30E7" w:rsidRPr="00C55A94" w:rsidRDefault="00ED30E7" w:rsidP="00103CF3">
      <w:pPr>
        <w:rPr>
          <w:rFonts w:ascii="Times New Roman" w:hAnsi="Times New Roman" w:cs="Times New Roman"/>
        </w:rPr>
      </w:pPr>
      <w:r w:rsidRPr="00C55A94">
        <w:rPr>
          <w:rFonts w:ascii="Times New Roman" w:hAnsi="Times New Roman" w:cs="Times New Roman"/>
        </w:rPr>
        <w:t>This report begins by examining the time-series characteristics of the S&amp;P 500 Industrials Index (Period 1). Plots of the full index and its corresponding log returns were generated to visually assess their behaviour.</w:t>
      </w:r>
    </w:p>
    <w:p w14:paraId="4FC3E5B7" w14:textId="3F6F33C9" w:rsidR="00103CF3" w:rsidRPr="00C55A94" w:rsidRDefault="00103CF3" w:rsidP="00103CF3">
      <w:pPr>
        <w:rPr>
          <w:rFonts w:ascii="Times New Roman" w:hAnsi="Times New Roman" w:cs="Times New Roman"/>
        </w:rPr>
      </w:pPr>
      <w:r w:rsidRPr="00C55A94">
        <w:rPr>
          <w:rFonts w:ascii="Times New Roman" w:hAnsi="Times New Roman" w:cs="Times New Roman"/>
          <w:noProof/>
        </w:rPr>
        <w:drawing>
          <wp:inline distT="0" distB="0" distL="0" distR="0" wp14:anchorId="17045FA4" wp14:editId="273793B4">
            <wp:extent cx="2872673" cy="2141346"/>
            <wp:effectExtent l="0" t="0" r="4445" b="0"/>
            <wp:docPr id="99424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90367" cy="2154536"/>
                    </a:xfrm>
                    <a:prstGeom prst="rect">
                      <a:avLst/>
                    </a:prstGeom>
                    <a:noFill/>
                  </pic:spPr>
                </pic:pic>
              </a:graphicData>
            </a:graphic>
          </wp:inline>
        </w:drawing>
      </w:r>
      <w:r w:rsidRPr="00C55A94">
        <w:rPr>
          <w:rFonts w:ascii="Times New Roman" w:hAnsi="Times New Roman" w:cs="Times New Roman"/>
          <w:noProof/>
        </w:rPr>
        <w:drawing>
          <wp:inline distT="0" distB="0" distL="0" distR="0" wp14:anchorId="7A04131B" wp14:editId="3317BADA">
            <wp:extent cx="2969887" cy="2213811"/>
            <wp:effectExtent l="0" t="0" r="2540" b="0"/>
            <wp:docPr id="386620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6602" cy="2218817"/>
                    </a:xfrm>
                    <a:prstGeom prst="rect">
                      <a:avLst/>
                    </a:prstGeom>
                    <a:noFill/>
                  </pic:spPr>
                </pic:pic>
              </a:graphicData>
            </a:graphic>
          </wp:inline>
        </w:drawing>
      </w:r>
    </w:p>
    <w:p w14:paraId="76D8BC97" w14:textId="588202C0" w:rsidR="00080D54" w:rsidRPr="00C55A94" w:rsidRDefault="00080D54" w:rsidP="002F47AE">
      <w:pPr>
        <w:pStyle w:val="Heading1"/>
        <w:rPr>
          <w:sz w:val="30"/>
          <w:szCs w:val="30"/>
        </w:rPr>
      </w:pPr>
      <w:r w:rsidRPr="00C55A94">
        <w:rPr>
          <w:sz w:val="30"/>
          <w:szCs w:val="30"/>
        </w:rPr>
        <w:t>Data Comparison</w:t>
      </w:r>
    </w:p>
    <w:p w14:paraId="449AD7E7" w14:textId="77777777" w:rsidR="00A54173" w:rsidRPr="00C55A94" w:rsidRDefault="00887BB7" w:rsidP="00103CF3">
      <w:pPr>
        <w:rPr>
          <w:rFonts w:ascii="Times New Roman" w:hAnsi="Times New Roman" w:cs="Times New Roman"/>
        </w:rPr>
      </w:pPr>
      <w:r w:rsidRPr="00C55A94">
        <w:rPr>
          <w:rFonts w:ascii="Times New Roman" w:hAnsi="Times New Roman" w:cs="Times New Roman"/>
        </w:rPr>
        <w:t xml:space="preserve">The index price level shows a persistent upward trend and noticeable volatility, suggesting non-stationarity. In contrast, the log returns fluctuate around a mean close to zero, indicating stationarity, though volatility clustering is evident. </w:t>
      </w:r>
      <w:r w:rsidR="00A54173" w:rsidRPr="00C55A94">
        <w:rPr>
          <w:rFonts w:ascii="Times New Roman" w:hAnsi="Times New Roman" w:cs="Times New Roman"/>
        </w:rPr>
        <w:t>These features are consistent with the MSCI World Index from the group project.</w:t>
      </w:r>
    </w:p>
    <w:p w14:paraId="449B1365" w14:textId="4DF4D4F7" w:rsidR="00887BB7" w:rsidRPr="00C55A94" w:rsidRDefault="00887BB7" w:rsidP="00103CF3">
      <w:pPr>
        <w:rPr>
          <w:rFonts w:ascii="Times New Roman" w:hAnsi="Times New Roman" w:cs="Times New Roman"/>
        </w:rPr>
      </w:pPr>
      <w:r w:rsidRPr="00C55A94">
        <w:rPr>
          <w:rFonts w:ascii="Times New Roman" w:hAnsi="Times New Roman" w:cs="Times New Roman"/>
        </w:rPr>
        <w:t>To confirm these visual impressions, the data were divided into an 80% training set (ending 2009-07-20) and a 20% test set. For the training data, the index plot retains a clear trend, while the Autocorrelation Function (ACF) decays slowly—both characteristic of a non-stationary, integrated I(1) process. The Augmented Dickey-Fuller (ADF) test supports this: the test statistic (-1.2879) exceeds the 5% critical value (-3.42), so the null of a unit root cannot be rejected. The index series is therefore non-stationary.</w:t>
      </w:r>
    </w:p>
    <w:p w14:paraId="559F91FA" w14:textId="2AE23F17" w:rsidR="00103CF3" w:rsidRPr="00C55A94" w:rsidRDefault="00103CF3" w:rsidP="00103CF3">
      <w:pPr>
        <w:rPr>
          <w:rFonts w:ascii="Times New Roman" w:hAnsi="Times New Roman" w:cs="Times New Roman"/>
        </w:rPr>
      </w:pPr>
      <w:r w:rsidRPr="00C55A94">
        <w:rPr>
          <w:rFonts w:ascii="Times New Roman" w:hAnsi="Times New Roman" w:cs="Times New Roman"/>
          <w:noProof/>
        </w:rPr>
        <w:drawing>
          <wp:inline distT="0" distB="0" distL="0" distR="0" wp14:anchorId="356334DC" wp14:editId="677340BA">
            <wp:extent cx="2840760" cy="2117558"/>
            <wp:effectExtent l="0" t="0" r="0" b="0"/>
            <wp:docPr id="2099560776" name="Picture 7" descr="A graph showing the number of index train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60776" name="Picture 7" descr="A graph showing the number of index training data&#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5022" cy="2128189"/>
                    </a:xfrm>
                    <a:prstGeom prst="rect">
                      <a:avLst/>
                    </a:prstGeom>
                    <a:noFill/>
                  </pic:spPr>
                </pic:pic>
              </a:graphicData>
            </a:graphic>
          </wp:inline>
        </w:drawing>
      </w:r>
      <w:r w:rsidRPr="00C55A94">
        <w:rPr>
          <w:rFonts w:ascii="Times New Roman" w:hAnsi="Times New Roman" w:cs="Times New Roman"/>
        </w:rPr>
        <w:t xml:space="preserve"> </w:t>
      </w:r>
      <w:r w:rsidRPr="00C55A94">
        <w:rPr>
          <w:rFonts w:ascii="Times New Roman" w:hAnsi="Times New Roman" w:cs="Times New Roman"/>
          <w:noProof/>
        </w:rPr>
        <w:drawing>
          <wp:inline distT="0" distB="0" distL="0" distR="0" wp14:anchorId="001E6D31" wp14:editId="0FBB40C3">
            <wp:extent cx="2969887" cy="2213811"/>
            <wp:effectExtent l="0" t="0" r="2540" b="0"/>
            <wp:docPr id="670552199" name="Picture 9" descr="A graph of a train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2199" name="Picture 9" descr="A graph of a training data&#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2757" cy="2223404"/>
                    </a:xfrm>
                    <a:prstGeom prst="rect">
                      <a:avLst/>
                    </a:prstGeom>
                    <a:noFill/>
                  </pic:spPr>
                </pic:pic>
              </a:graphicData>
            </a:graphic>
          </wp:inline>
        </w:drawing>
      </w:r>
    </w:p>
    <w:p w14:paraId="65B01675" w14:textId="77777777" w:rsidR="00103CF3" w:rsidRPr="00C55A94" w:rsidRDefault="00103CF3" w:rsidP="00103CF3">
      <w:pPr>
        <w:rPr>
          <w:rFonts w:ascii="Times New Roman" w:hAnsi="Times New Roman" w:cs="Times New Roman"/>
        </w:rPr>
      </w:pPr>
      <w:r w:rsidRPr="00C55A94">
        <w:rPr>
          <w:rFonts w:ascii="Times New Roman" w:hAnsi="Times New Roman" w:cs="Times New Roman"/>
        </w:rPr>
        <w:t xml:space="preserve">Next, a similar investigation conducted for the log returns led to the opposite conclusion. Visually, the plot </w:t>
      </w:r>
      <w:r w:rsidRPr="00C55A94">
        <w:rPr>
          <w:rFonts w:ascii="Times New Roman" w:hAnsi="Times New Roman" w:cs="Times New Roman"/>
        </w:rPr>
        <w:lastRenderedPageBreak/>
        <w:t>shows the series reverting towards a constant mean. This is supported by the ACF plot, which cuts off sharply after lag 0 – behaviour characteristic of a stationary I(0) process. The ADF test (type = "none") further solidifies this conclusion: the test statistic (-15.7029) is substantially smaller (more negative) than the 5% critical value (-1.95), allowing for a strong rejection of the null hypothesis. Consequently, the log returns training data can be considered stationary.</w:t>
      </w:r>
    </w:p>
    <w:p w14:paraId="2F5A8343" w14:textId="73E3CE21" w:rsidR="00103CF3" w:rsidRPr="00C55A94" w:rsidRDefault="00103CF3" w:rsidP="00103CF3">
      <w:pPr>
        <w:rPr>
          <w:rFonts w:ascii="Times New Roman" w:hAnsi="Times New Roman" w:cs="Times New Roman"/>
        </w:rPr>
      </w:pPr>
      <w:r w:rsidRPr="00C55A94">
        <w:rPr>
          <w:rFonts w:ascii="Times New Roman" w:hAnsi="Times New Roman" w:cs="Times New Roman"/>
          <w:noProof/>
        </w:rPr>
        <w:drawing>
          <wp:inline distT="0" distB="0" distL="0" distR="0" wp14:anchorId="174E37BC" wp14:editId="49B6FDCC">
            <wp:extent cx="3001784" cy="2237589"/>
            <wp:effectExtent l="0" t="0" r="8255" b="0"/>
            <wp:docPr id="126547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9122" cy="2257967"/>
                    </a:xfrm>
                    <a:prstGeom prst="rect">
                      <a:avLst/>
                    </a:prstGeom>
                    <a:noFill/>
                  </pic:spPr>
                </pic:pic>
              </a:graphicData>
            </a:graphic>
          </wp:inline>
        </w:drawing>
      </w:r>
      <w:r w:rsidRPr="00C55A94">
        <w:rPr>
          <w:rFonts w:ascii="Times New Roman" w:hAnsi="Times New Roman" w:cs="Times New Roman"/>
          <w:noProof/>
        </w:rPr>
        <w:drawing>
          <wp:inline distT="0" distB="0" distL="0" distR="0" wp14:anchorId="0313EA7D" wp14:editId="387E0749">
            <wp:extent cx="3107081" cy="2316079"/>
            <wp:effectExtent l="0" t="0" r="0" b="8255"/>
            <wp:docPr id="265052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5700" cy="2322504"/>
                    </a:xfrm>
                    <a:prstGeom prst="rect">
                      <a:avLst/>
                    </a:prstGeom>
                    <a:noFill/>
                  </pic:spPr>
                </pic:pic>
              </a:graphicData>
            </a:graphic>
          </wp:inline>
        </w:drawing>
      </w:r>
    </w:p>
    <w:p w14:paraId="1C7E0994" w14:textId="3B9ABE3D" w:rsidR="00ED30E7" w:rsidRPr="00C55A94" w:rsidRDefault="00ED30E7" w:rsidP="00ED30E7">
      <w:pPr>
        <w:rPr>
          <w:rFonts w:ascii="Times New Roman" w:hAnsi="Times New Roman" w:cs="Times New Roman"/>
        </w:rPr>
      </w:pPr>
      <w:r w:rsidRPr="00C55A94">
        <w:rPr>
          <w:rFonts w:ascii="Times New Roman" w:hAnsi="Times New Roman" w:cs="Times New Roman"/>
        </w:rPr>
        <w:t xml:space="preserve">In summary, this analysis </w:t>
      </w:r>
      <w:r w:rsidR="00D61FC3" w:rsidRPr="00C55A94">
        <w:rPr>
          <w:rFonts w:ascii="Times New Roman" w:hAnsi="Times New Roman" w:cs="Times New Roman" w:hint="eastAsia"/>
        </w:rPr>
        <w:t>shows</w:t>
      </w:r>
      <w:r w:rsidRPr="00C55A94">
        <w:rPr>
          <w:rFonts w:ascii="Times New Roman" w:hAnsi="Times New Roman" w:cs="Times New Roman"/>
        </w:rPr>
        <w:t xml:space="preserve"> two key findings:</w:t>
      </w:r>
    </w:p>
    <w:p w14:paraId="2A423A8C" w14:textId="40D1DD09" w:rsidR="00ED30E7" w:rsidRPr="00C55A94" w:rsidRDefault="00ED30E7" w:rsidP="00ED30E7">
      <w:pPr>
        <w:numPr>
          <w:ilvl w:val="0"/>
          <w:numId w:val="3"/>
        </w:numPr>
        <w:rPr>
          <w:rFonts w:ascii="Times New Roman" w:hAnsi="Times New Roman" w:cs="Times New Roman"/>
        </w:rPr>
      </w:pPr>
      <w:r w:rsidRPr="00C55A94">
        <w:rPr>
          <w:rFonts w:ascii="Times New Roman" w:hAnsi="Times New Roman" w:cs="Times New Roman"/>
        </w:rPr>
        <w:t xml:space="preserve">The index price series is </w:t>
      </w:r>
      <w:r w:rsidRPr="00C55A94">
        <w:rPr>
          <w:rFonts w:ascii="Times New Roman" w:hAnsi="Times New Roman" w:cs="Times New Roman"/>
          <w:b/>
          <w:bCs/>
        </w:rPr>
        <w:t>I(1) non-stationary</w:t>
      </w:r>
      <w:r w:rsidRPr="00C55A94">
        <w:rPr>
          <w:rFonts w:ascii="Times New Roman" w:hAnsi="Times New Roman" w:cs="Times New Roman"/>
        </w:rPr>
        <w:t>, confirming it requires differencing for modelling.</w:t>
      </w:r>
    </w:p>
    <w:p w14:paraId="49CCE726" w14:textId="318ED35F" w:rsidR="00ED30E7" w:rsidRPr="00C55A94" w:rsidRDefault="00ED30E7" w:rsidP="00ED30E7">
      <w:pPr>
        <w:numPr>
          <w:ilvl w:val="0"/>
          <w:numId w:val="3"/>
        </w:numPr>
        <w:rPr>
          <w:rFonts w:ascii="Times New Roman" w:hAnsi="Times New Roman" w:cs="Times New Roman"/>
        </w:rPr>
      </w:pPr>
      <w:r w:rsidRPr="00C55A94">
        <w:rPr>
          <w:rFonts w:ascii="Times New Roman" w:hAnsi="Times New Roman" w:cs="Times New Roman"/>
        </w:rPr>
        <w:t xml:space="preserve">The log return series is </w:t>
      </w:r>
      <w:r w:rsidRPr="00C55A94">
        <w:rPr>
          <w:rFonts w:ascii="Times New Roman" w:hAnsi="Times New Roman" w:cs="Times New Roman"/>
          <w:b/>
          <w:bCs/>
        </w:rPr>
        <w:t>I(0) stationary</w:t>
      </w:r>
      <w:r w:rsidRPr="00C55A94">
        <w:rPr>
          <w:rFonts w:ascii="Times New Roman" w:hAnsi="Times New Roman" w:cs="Times New Roman"/>
        </w:rPr>
        <w:t>, confirming it is suitable for volatility modelling.</w:t>
      </w:r>
    </w:p>
    <w:p w14:paraId="0B885BF9" w14:textId="77777777" w:rsidR="00A54173" w:rsidRPr="00C55A94" w:rsidRDefault="00A54173" w:rsidP="00103CF3">
      <w:pPr>
        <w:rPr>
          <w:rFonts w:ascii="Times New Roman" w:hAnsi="Times New Roman" w:cs="Times New Roman"/>
        </w:rPr>
      </w:pPr>
      <w:r w:rsidRPr="00C55A94">
        <w:rPr>
          <w:rFonts w:ascii="Times New Roman" w:hAnsi="Times New Roman" w:cs="Times New Roman"/>
        </w:rPr>
        <w:t>This matches the group project and confirms typical financial index behaviour.</w:t>
      </w:r>
    </w:p>
    <w:p w14:paraId="12BFEB05" w14:textId="08B7BADD" w:rsidR="00103CF3" w:rsidRPr="00C55A94" w:rsidRDefault="00103CF3" w:rsidP="002F47AE">
      <w:pPr>
        <w:pStyle w:val="Heading1"/>
        <w:rPr>
          <w:sz w:val="30"/>
          <w:szCs w:val="30"/>
        </w:rPr>
      </w:pPr>
      <w:r w:rsidRPr="00C55A94">
        <w:rPr>
          <w:sz w:val="30"/>
          <w:szCs w:val="30"/>
        </w:rPr>
        <w:t>ARIMA Estimation and Forecasting</w:t>
      </w:r>
    </w:p>
    <w:p w14:paraId="13A17D0F" w14:textId="40F4D94F" w:rsidR="00103CF3" w:rsidRPr="00C55A94" w:rsidRDefault="00103CF3" w:rsidP="00103CF3">
      <w:pPr>
        <w:rPr>
          <w:rFonts w:ascii="Times New Roman" w:hAnsi="Times New Roman" w:cs="Times New Roman"/>
        </w:rPr>
      </w:pPr>
      <w:r w:rsidRPr="00C55A94">
        <w:rPr>
          <w:rFonts w:ascii="Times New Roman" w:hAnsi="Times New Roman" w:cs="Times New Roman"/>
        </w:rPr>
        <w:t>Following the</w:t>
      </w:r>
      <w:r w:rsidR="00887BB7" w:rsidRPr="00C55A94">
        <w:rPr>
          <w:rFonts w:ascii="Times New Roman" w:hAnsi="Times New Roman" w:cs="Times New Roman"/>
        </w:rPr>
        <w:t xml:space="preserve"> data analysis result</w:t>
      </w:r>
      <w:r w:rsidRPr="00C55A94">
        <w:rPr>
          <w:rFonts w:ascii="Times New Roman" w:hAnsi="Times New Roman" w:cs="Times New Roman"/>
        </w:rPr>
        <w:t>, the ARIMA(2,1,2)</w:t>
      </w:r>
      <w:r w:rsidR="00887BB7" w:rsidRPr="00C55A94">
        <w:rPr>
          <w:rFonts w:ascii="Times New Roman" w:hAnsi="Times New Roman" w:cs="Times New Roman"/>
        </w:rPr>
        <w:t xml:space="preserve"> </w:t>
      </w:r>
      <w:r w:rsidRPr="00C55A94">
        <w:rPr>
          <w:rFonts w:ascii="Times New Roman" w:hAnsi="Times New Roman" w:cs="Times New Roman"/>
        </w:rPr>
        <w:t xml:space="preserve">model (the order from the group project) was estimated on the training data. </w:t>
      </w:r>
    </w:p>
    <w:p w14:paraId="6053A4D8" w14:textId="1ACE96FE" w:rsidR="00103CF3" w:rsidRPr="00C55A94" w:rsidRDefault="00103CF3" w:rsidP="00D9149F">
      <w:pPr>
        <w:rPr>
          <w:rFonts w:ascii="Times New Roman" w:hAnsi="Times New Roman" w:cs="Times New Roman"/>
        </w:rPr>
      </w:pPr>
      <w:r w:rsidRPr="00C55A94">
        <w:rPr>
          <w:rFonts w:ascii="Times New Roman" w:hAnsi="Times New Roman" w:cs="Times New Roman"/>
        </w:rPr>
        <w:t xml:space="preserve">The resulting equation is: (1 − 0.0124B + </w:t>
      </w:r>
      <w:r w:rsidR="002F47AE" w:rsidRPr="00C55A94">
        <w:rPr>
          <w:rFonts w:ascii="Times New Roman" w:hAnsi="Times New Roman" w:cs="Times New Roman"/>
        </w:rPr>
        <w:t>0.4251B</w:t>
      </w:r>
      <w:r w:rsidR="002F47AE" w:rsidRPr="00C55A94">
        <w:rPr>
          <w:rFonts w:ascii="Times New Roman" w:eastAsia="等线" w:hAnsi="Times New Roman" w:cs="Times New Roman"/>
        </w:rPr>
        <w:t>²</w:t>
      </w:r>
      <w:r w:rsidR="002F47AE" w:rsidRPr="00C55A94">
        <w:rPr>
          <w:rFonts w:ascii="Times New Roman" w:hAnsi="Times New Roman" w:cs="Times New Roman"/>
        </w:rPr>
        <w:t>) (</w:t>
      </w:r>
      <w:r w:rsidRPr="00C55A94">
        <w:rPr>
          <w:rFonts w:ascii="Times New Roman" w:hAnsi="Times New Roman" w:cs="Times New Roman"/>
        </w:rPr>
        <w:t xml:space="preserve">1 − </w:t>
      </w:r>
      <w:r w:rsidR="002F47AE" w:rsidRPr="00C55A94">
        <w:rPr>
          <w:rFonts w:ascii="Times New Roman" w:hAnsi="Times New Roman" w:cs="Times New Roman"/>
        </w:rPr>
        <w:t>B) y</w:t>
      </w:r>
      <w:r w:rsidRPr="00C55A94">
        <w:rPr>
          <w:rFonts w:ascii="Times New Roman" w:hAnsi="Times New Roman" w:cs="Times New Roman"/>
        </w:rPr>
        <w:t xml:space="preserve">ₜ = (1 − 0.1336B + </w:t>
      </w:r>
      <w:r w:rsidR="002F47AE" w:rsidRPr="00C55A94">
        <w:rPr>
          <w:rFonts w:ascii="Times New Roman" w:hAnsi="Times New Roman" w:cs="Times New Roman"/>
        </w:rPr>
        <w:t>0.3596B</w:t>
      </w:r>
      <w:r w:rsidR="002F47AE" w:rsidRPr="00C55A94">
        <w:rPr>
          <w:rFonts w:ascii="Times New Roman" w:eastAsia="等线" w:hAnsi="Times New Roman" w:cs="Times New Roman"/>
        </w:rPr>
        <w:t>²</w:t>
      </w:r>
      <w:r w:rsidR="002F47AE" w:rsidRPr="00C55A94">
        <w:rPr>
          <w:rFonts w:ascii="Times New Roman" w:hAnsi="Times New Roman" w:cs="Times New Roman"/>
        </w:rPr>
        <w:t>)</w:t>
      </w:r>
      <w:r w:rsidR="002F47AE" w:rsidRPr="00C55A94">
        <w:rPr>
          <w:rFonts w:ascii="Times New Roman" w:eastAsia="等线" w:hAnsi="Times New Roman" w:cs="Times New Roman"/>
        </w:rPr>
        <w:t xml:space="preserve"> ε</w:t>
      </w:r>
      <w:r w:rsidRPr="00C55A94">
        <w:rPr>
          <w:rFonts w:ascii="Times New Roman" w:hAnsi="Times New Roman" w:cs="Times New Roman"/>
        </w:rPr>
        <w:t>ₜ</w:t>
      </w:r>
    </w:p>
    <w:p w14:paraId="2DA8687F" w14:textId="48B19951" w:rsidR="00103CF3" w:rsidRPr="00C55A94" w:rsidRDefault="00103CF3" w:rsidP="00103CF3">
      <w:pPr>
        <w:rPr>
          <w:rFonts w:ascii="Times New Roman" w:hAnsi="Times New Roman" w:cs="Times New Roman"/>
        </w:rPr>
      </w:pPr>
      <w:r w:rsidRPr="00C55A94">
        <w:rPr>
          <w:rFonts w:ascii="Times New Roman" w:hAnsi="Times New Roman" w:cs="Times New Roman"/>
        </w:rPr>
        <w:t>A residual analysis was performed to check the fit. The Ljung-Box test p-value of 0.7028 (P &gt; 0.05) confirms the residuals are white noise. The model is therefore a good statistical fit.</w:t>
      </w:r>
    </w:p>
    <w:p w14:paraId="30BD90E0" w14:textId="03C06E44" w:rsidR="00103CF3" w:rsidRPr="00C55A94" w:rsidRDefault="00D9149F" w:rsidP="00D9149F">
      <w:pPr>
        <w:ind w:firstLineChars="900" w:firstLine="1980"/>
        <w:rPr>
          <w:rFonts w:ascii="Times New Roman" w:hAnsi="Times New Roman" w:cs="Times New Roman"/>
        </w:rPr>
      </w:pPr>
      <w:r w:rsidRPr="00C55A94">
        <w:rPr>
          <w:rFonts w:ascii="Times New Roman" w:hAnsi="Times New Roman" w:cs="Times New Roman"/>
          <w:noProof/>
        </w:rPr>
        <w:lastRenderedPageBreak/>
        <w:drawing>
          <wp:inline distT="0" distB="0" distL="0" distR="0" wp14:anchorId="46A46117" wp14:editId="6DEE8B0D">
            <wp:extent cx="2906486" cy="2166552"/>
            <wp:effectExtent l="0" t="0" r="8255" b="5715"/>
            <wp:docPr id="919165858" name="Picture 16"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5858" name="Picture 16" descr="A graph of a graph of a functi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1929" cy="2222789"/>
                    </a:xfrm>
                    <a:prstGeom prst="rect">
                      <a:avLst/>
                    </a:prstGeom>
                    <a:noFill/>
                  </pic:spPr>
                </pic:pic>
              </a:graphicData>
            </a:graphic>
          </wp:inline>
        </w:drawing>
      </w:r>
    </w:p>
    <w:p w14:paraId="069E02CB" w14:textId="513125C5" w:rsidR="00103CF3" w:rsidRPr="00C55A94" w:rsidRDefault="00E70AF3" w:rsidP="00E70AF3">
      <w:pPr>
        <w:rPr>
          <w:rFonts w:ascii="Times New Roman" w:hAnsi="Times New Roman" w:cs="Times New Roman"/>
        </w:rPr>
      </w:pPr>
      <w:r w:rsidRPr="00C55A94">
        <w:rPr>
          <w:rFonts w:ascii="Times New Roman" w:hAnsi="Times New Roman" w:cs="Times New Roman"/>
          <w:noProof/>
        </w:rPr>
        <w:drawing>
          <wp:anchor distT="0" distB="0" distL="114300" distR="114300" simplePos="0" relativeHeight="251658240" behindDoc="1" locked="0" layoutInCell="1" allowOverlap="1" wp14:anchorId="71B2CA76" wp14:editId="0BF8E551">
            <wp:simplePos x="0" y="0"/>
            <wp:positionH relativeFrom="column">
              <wp:posOffset>1109889</wp:posOffset>
            </wp:positionH>
            <wp:positionV relativeFrom="paragraph">
              <wp:posOffset>738777</wp:posOffset>
            </wp:positionV>
            <wp:extent cx="4006215" cy="2986405"/>
            <wp:effectExtent l="0" t="0" r="0" b="4445"/>
            <wp:wrapTopAndBottom/>
            <wp:docPr id="1080885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6215" cy="2986405"/>
                    </a:xfrm>
                    <a:prstGeom prst="rect">
                      <a:avLst/>
                    </a:prstGeom>
                    <a:noFill/>
                  </pic:spPr>
                </pic:pic>
              </a:graphicData>
            </a:graphic>
          </wp:anchor>
        </w:drawing>
      </w:r>
      <w:r w:rsidR="00D9149F" w:rsidRPr="00C55A94">
        <w:rPr>
          <w:rFonts w:ascii="Times New Roman" w:hAnsi="Times New Roman" w:cs="Times New Roman"/>
        </w:rPr>
        <w:t>The forecast plot illustrates the model’s predicted values and 95% intervals alongside the full series. The evaluation metrics (RMSE 31.19, MAPE 12.35%) suggest the model fits well in-sample but fails to capture the test-period dynamics.</w:t>
      </w:r>
      <w:r w:rsidRPr="00C55A94">
        <w:rPr>
          <w:rFonts w:ascii="Times New Roman" w:hAnsi="Times New Roman" w:cs="Times New Roman" w:hint="eastAsia"/>
        </w:rPr>
        <w:t xml:space="preserve">   </w:t>
      </w:r>
    </w:p>
    <w:p w14:paraId="76DDE9B4" w14:textId="0EB0547F" w:rsidR="00103CF3" w:rsidRPr="00C55A94" w:rsidRDefault="00103CF3" w:rsidP="002F47AE">
      <w:pPr>
        <w:pStyle w:val="Heading1"/>
        <w:rPr>
          <w:sz w:val="30"/>
          <w:szCs w:val="30"/>
        </w:rPr>
      </w:pPr>
      <w:r w:rsidRPr="00C55A94">
        <w:rPr>
          <w:sz w:val="30"/>
          <w:szCs w:val="30"/>
        </w:rPr>
        <w:t>GARCH Estimation and Forecasting</w:t>
      </w:r>
    </w:p>
    <w:p w14:paraId="65490926" w14:textId="77777777" w:rsidR="002D5D2A" w:rsidRPr="00C55A94" w:rsidRDefault="00103CF3" w:rsidP="00103CF3">
      <w:pPr>
        <w:rPr>
          <w:rFonts w:ascii="Times New Roman" w:hAnsi="Times New Roman" w:cs="Times New Roman"/>
        </w:rPr>
      </w:pPr>
      <w:r w:rsidRPr="00C55A94">
        <w:rPr>
          <w:rFonts w:ascii="Times New Roman" w:hAnsi="Times New Roman" w:cs="Times New Roman"/>
        </w:rPr>
        <w:t xml:space="preserve">To model the volatility clustering, a GARCH (1,1) model was estimated on the stationary log returns. The estimated equation is: </w:t>
      </w:r>
    </w:p>
    <w:p w14:paraId="3A5B94EE" w14:textId="5CE5570A" w:rsidR="00103CF3" w:rsidRPr="00C55A94" w:rsidRDefault="00103CF3" w:rsidP="002D5D2A">
      <w:pPr>
        <w:ind w:firstLineChars="1300" w:firstLine="2860"/>
        <w:rPr>
          <w:rFonts w:ascii="Times New Roman" w:hAnsi="Times New Roman" w:cs="Times New Roman"/>
        </w:rPr>
      </w:pPr>
      <w:r w:rsidRPr="00C55A94">
        <w:rPr>
          <w:rFonts w:ascii="Times New Roman" w:hAnsi="Times New Roman" w:cs="Times New Roman"/>
        </w:rPr>
        <w:t>hₜ = 0.0822 + 0.0876</w:t>
      </w:r>
      <w:r w:rsidRPr="00C55A94">
        <w:rPr>
          <w:rFonts w:ascii="Times New Roman" w:eastAsia="等线" w:hAnsi="Times New Roman" w:cs="Times New Roman"/>
        </w:rPr>
        <w:t>ε</w:t>
      </w:r>
      <w:r w:rsidRPr="00C55A94">
        <w:rPr>
          <w:rFonts w:ascii="Times New Roman" w:hAnsi="Times New Roman" w:cs="Times New Roman"/>
        </w:rPr>
        <w:t>ₜ₋₁</w:t>
      </w:r>
      <w:r w:rsidRPr="00C55A94">
        <w:rPr>
          <w:rFonts w:ascii="Times New Roman" w:eastAsia="等线" w:hAnsi="Times New Roman" w:cs="Times New Roman"/>
        </w:rPr>
        <w:t>²</w:t>
      </w:r>
      <w:r w:rsidRPr="00C55A94">
        <w:rPr>
          <w:rFonts w:ascii="Times New Roman" w:hAnsi="Times New Roman" w:cs="Times New Roman"/>
        </w:rPr>
        <w:t xml:space="preserve"> + 0.9000hₜ₋₁</w:t>
      </w:r>
    </w:p>
    <w:p w14:paraId="666D2FB9" w14:textId="4E1976DD" w:rsidR="00103CF3" w:rsidRPr="00C55A94" w:rsidRDefault="00103CF3" w:rsidP="00103CF3">
      <w:pPr>
        <w:rPr>
          <w:rFonts w:ascii="Times New Roman" w:hAnsi="Times New Roman" w:cs="Times New Roman"/>
        </w:rPr>
      </w:pPr>
      <w:r w:rsidRPr="00C55A94">
        <w:rPr>
          <w:rFonts w:ascii="Times New Roman" w:hAnsi="Times New Roman" w:cs="Times New Roman"/>
        </w:rPr>
        <w:t>The (α1​=0.0876) and (β1=​0.9000) coefficients were highly significant, confirming ARCH/GARCH effects. The volatility persistence α1​+β1​=0.9876, indicating shocks are highly persistent.</w:t>
      </w:r>
    </w:p>
    <w:p w14:paraId="05CCAE11" w14:textId="1D0EEFE9" w:rsidR="00103CF3" w:rsidRPr="00C55A94" w:rsidRDefault="00103CF3" w:rsidP="00103CF3">
      <w:pPr>
        <w:rPr>
          <w:rFonts w:ascii="Times New Roman" w:hAnsi="Times New Roman" w:cs="Times New Roman"/>
        </w:rPr>
      </w:pPr>
      <w:r w:rsidRPr="00C55A94">
        <w:rPr>
          <w:rFonts w:ascii="Times New Roman" w:hAnsi="Times New Roman" w:cs="Times New Roman"/>
        </w:rPr>
        <w:t>A residual analysis was performed on the squared standardised residuals. The Ljung-Box test yielded a p-value of 0.0513 (at lag 10). P &gt; 0.05, shows that the model is a good fit and successfully captured the volatility clustering.</w:t>
      </w:r>
    </w:p>
    <w:p w14:paraId="183E7E32" w14:textId="1E1AC91F" w:rsidR="00103CF3" w:rsidRPr="00C55A94" w:rsidRDefault="00EF4C64" w:rsidP="00103CF3">
      <w:pPr>
        <w:rPr>
          <w:rFonts w:ascii="Times New Roman" w:hAnsi="Times New Roman" w:cs="Times New Roman"/>
        </w:rPr>
      </w:pPr>
      <w:r w:rsidRPr="00C55A94">
        <w:rPr>
          <w:rFonts w:ascii="Times New Roman" w:hAnsi="Times New Roman" w:cs="Times New Roman"/>
          <w:noProof/>
        </w:rPr>
        <w:lastRenderedPageBreak/>
        <w:drawing>
          <wp:inline distT="0" distB="0" distL="0" distR="0" wp14:anchorId="70E4C64B" wp14:editId="5498825B">
            <wp:extent cx="2969885" cy="2213810"/>
            <wp:effectExtent l="0" t="0" r="2540" b="0"/>
            <wp:docPr id="7572030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90153" cy="2228918"/>
                    </a:xfrm>
                    <a:prstGeom prst="rect">
                      <a:avLst/>
                    </a:prstGeom>
                    <a:noFill/>
                  </pic:spPr>
                </pic:pic>
              </a:graphicData>
            </a:graphic>
          </wp:inline>
        </w:drawing>
      </w:r>
      <w:r w:rsidR="00103CF3" w:rsidRPr="00C55A94">
        <w:rPr>
          <w:rFonts w:ascii="Times New Roman" w:hAnsi="Times New Roman" w:cs="Times New Roman"/>
        </w:rPr>
        <w:t xml:space="preserve"> </w:t>
      </w:r>
      <w:r w:rsidRPr="00C55A94">
        <w:rPr>
          <w:rFonts w:ascii="Times New Roman" w:hAnsi="Times New Roman" w:cs="Times New Roman"/>
          <w:noProof/>
        </w:rPr>
        <w:drawing>
          <wp:inline distT="0" distB="0" distL="0" distR="0" wp14:anchorId="5347EC78" wp14:editId="41C54F93">
            <wp:extent cx="3001879" cy="2237659"/>
            <wp:effectExtent l="0" t="0" r="8255" b="0"/>
            <wp:docPr id="5720808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6223" cy="2248352"/>
                    </a:xfrm>
                    <a:prstGeom prst="rect">
                      <a:avLst/>
                    </a:prstGeom>
                    <a:noFill/>
                  </pic:spPr>
                </pic:pic>
              </a:graphicData>
            </a:graphic>
          </wp:inline>
        </w:drawing>
      </w:r>
    </w:p>
    <w:p w14:paraId="307C0A99" w14:textId="3F771A1F" w:rsidR="00103CF3" w:rsidRPr="00C55A94" w:rsidRDefault="00103CF3" w:rsidP="00103CF3">
      <w:pPr>
        <w:rPr>
          <w:rFonts w:ascii="Times New Roman" w:hAnsi="Times New Roman" w:cs="Times New Roman"/>
        </w:rPr>
      </w:pPr>
      <w:r w:rsidRPr="00C55A94">
        <w:rPr>
          <w:rFonts w:ascii="Times New Roman" w:hAnsi="Times New Roman" w:cs="Times New Roman"/>
        </w:rPr>
        <w:t>The visuali</w:t>
      </w:r>
      <w:r w:rsidR="00C55A94">
        <w:rPr>
          <w:rFonts w:ascii="Times New Roman" w:hAnsi="Times New Roman" w:cs="Times New Roman"/>
        </w:rPr>
        <w:t>s</w:t>
      </w:r>
      <w:r w:rsidRPr="00C55A94">
        <w:rPr>
          <w:rFonts w:ascii="Times New Roman" w:hAnsi="Times New Roman" w:cs="Times New Roman"/>
        </w:rPr>
        <w:t>ation displays the full log returns, the forecast, and the 95% prediction intervals. The forecast accuracy for the mean was RMSE: 1.3205.</w:t>
      </w:r>
    </w:p>
    <w:p w14:paraId="21AF5F88" w14:textId="5C4D0400" w:rsidR="00103CF3" w:rsidRPr="00C55A94" w:rsidRDefault="00EF4C64" w:rsidP="00EF4C64">
      <w:pPr>
        <w:ind w:firstLineChars="800" w:firstLine="1760"/>
        <w:rPr>
          <w:rFonts w:ascii="Times New Roman" w:hAnsi="Times New Roman" w:cs="Times New Roman"/>
        </w:rPr>
      </w:pPr>
      <w:r w:rsidRPr="00C55A94">
        <w:rPr>
          <w:rFonts w:ascii="Times New Roman" w:hAnsi="Times New Roman" w:cs="Times New Roman"/>
          <w:noProof/>
        </w:rPr>
        <w:drawing>
          <wp:inline distT="0" distB="0" distL="0" distR="0" wp14:anchorId="5E5248DC" wp14:editId="0148AE22">
            <wp:extent cx="3752036" cy="2796841"/>
            <wp:effectExtent l="0" t="0" r="1270" b="3810"/>
            <wp:docPr id="42033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7573" cy="2808423"/>
                    </a:xfrm>
                    <a:prstGeom prst="rect">
                      <a:avLst/>
                    </a:prstGeom>
                    <a:noFill/>
                  </pic:spPr>
                </pic:pic>
              </a:graphicData>
            </a:graphic>
          </wp:inline>
        </w:drawing>
      </w:r>
    </w:p>
    <w:p w14:paraId="5FF0B6FA" w14:textId="27CA8A9F" w:rsidR="00103CF3" w:rsidRPr="00C55A94" w:rsidRDefault="00103CF3" w:rsidP="002F47AE">
      <w:pPr>
        <w:pStyle w:val="Heading1"/>
        <w:rPr>
          <w:sz w:val="30"/>
          <w:szCs w:val="30"/>
        </w:rPr>
      </w:pPr>
      <w:r w:rsidRPr="00C55A94">
        <w:rPr>
          <w:sz w:val="30"/>
          <w:szCs w:val="30"/>
        </w:rPr>
        <w:t>Conclusions and Comparison with Group Work</w:t>
      </w:r>
    </w:p>
    <w:p w14:paraId="0FF8F17D" w14:textId="77777777" w:rsidR="00A54173" w:rsidRPr="00C55A94" w:rsidRDefault="00A54173" w:rsidP="00B47827">
      <w:pPr>
        <w:rPr>
          <w:rFonts w:ascii="Times New Roman" w:hAnsi="Times New Roman" w:cs="Times New Roman"/>
        </w:rPr>
      </w:pPr>
      <w:r w:rsidRPr="00C55A94">
        <w:rPr>
          <w:rFonts w:ascii="Times New Roman" w:hAnsi="Times New Roman" w:cs="Times New Roman"/>
        </w:rPr>
        <w:t>This section compares my results (2008–2011) with the group’s (2023–2024) to assess whether the same conclusions were reached.</w:t>
      </w:r>
    </w:p>
    <w:p w14:paraId="1AABE574" w14:textId="5CBE6A18" w:rsidR="00B47827" w:rsidRDefault="00B47827" w:rsidP="00B47827">
      <w:pPr>
        <w:rPr>
          <w:rFonts w:ascii="Times New Roman" w:hAnsi="Times New Roman" w:cs="Times New Roman"/>
        </w:rPr>
      </w:pPr>
      <w:r w:rsidRPr="00C55A94">
        <w:rPr>
          <w:rFonts w:ascii="Times New Roman" w:hAnsi="Times New Roman" w:cs="Times New Roman"/>
        </w:rPr>
        <w:t>The answer is mixed. Regarding the underlying data properties and the suitability of the chosen models, the conclusions were indeed identical. As detailed below, both datasets confirmed the standard behaviour of financial time series and the appropriateness of the ARIMA and GARCH frameworks. However, regarding forecasting performance, the conclusions were notably different, highlighting the impact of distinct market regimes.</w:t>
      </w:r>
    </w:p>
    <w:p w14:paraId="761AB682" w14:textId="77777777" w:rsidR="000E784A" w:rsidRPr="00C55A94" w:rsidRDefault="000E784A" w:rsidP="00B47827">
      <w:pPr>
        <w:rPr>
          <w:rFonts w:ascii="Times New Roman" w:hAnsi="Times New Roman" w:cs="Times New Roman"/>
        </w:rPr>
      </w:pPr>
    </w:p>
    <w:p w14:paraId="4F8E46FE" w14:textId="7EE92601" w:rsidR="00B47827" w:rsidRPr="00C55A94" w:rsidRDefault="00C6235F" w:rsidP="00B47827">
      <w:pPr>
        <w:rPr>
          <w:rFonts w:ascii="Times New Roman" w:hAnsi="Times New Roman" w:cs="Times New Roman"/>
        </w:rPr>
      </w:pPr>
      <w:r w:rsidRPr="00C55A94">
        <w:rPr>
          <w:rFonts w:ascii="Times New Roman" w:hAnsi="Times New Roman" w:cs="Times New Roman"/>
        </w:rPr>
        <w:lastRenderedPageBreak/>
        <w:t>Similar</w:t>
      </w:r>
      <w:r w:rsidR="00B47827" w:rsidRPr="00C55A94">
        <w:rPr>
          <w:rFonts w:ascii="Times New Roman" w:hAnsi="Times New Roman" w:cs="Times New Roman"/>
        </w:rPr>
        <w:t xml:space="preserve"> Findings</w:t>
      </w:r>
      <w:r w:rsidRPr="00C55A94">
        <w:rPr>
          <w:rFonts w:ascii="Times New Roman" w:hAnsi="Times New Roman" w:cs="Times New Roman"/>
        </w:rPr>
        <w:t>:</w:t>
      </w:r>
    </w:p>
    <w:p w14:paraId="610B3BCF" w14:textId="4AA242D5" w:rsidR="00A54173" w:rsidRPr="00C55A94" w:rsidRDefault="00B47827" w:rsidP="00A54173">
      <w:pPr>
        <w:numPr>
          <w:ilvl w:val="0"/>
          <w:numId w:val="4"/>
        </w:numPr>
        <w:rPr>
          <w:rFonts w:ascii="Times New Roman" w:hAnsi="Times New Roman" w:cs="Times New Roman"/>
        </w:rPr>
      </w:pPr>
      <w:r w:rsidRPr="00C55A94">
        <w:rPr>
          <w:rFonts w:ascii="Times New Roman" w:hAnsi="Times New Roman" w:cs="Times New Roman"/>
          <w:b/>
          <w:bCs/>
        </w:rPr>
        <w:t>Data Properties:</w:t>
      </w:r>
      <w:r w:rsidRPr="00C55A94">
        <w:rPr>
          <w:rFonts w:ascii="Times New Roman" w:hAnsi="Times New Roman" w:cs="Times New Roman"/>
        </w:rPr>
        <w:t xml:space="preserve"> Both analyses confirmed that the index prices were I(1) non-stationary, while the log returns were I(0) stationary. </w:t>
      </w:r>
      <w:r w:rsidR="00A54173" w:rsidRPr="00C55A94">
        <w:rPr>
          <w:rFonts w:ascii="Times New Roman" w:hAnsi="Times New Roman" w:cs="Times New Roman"/>
        </w:rPr>
        <w:t>This indicates that the basic statistical patterns of the indices remain steady even with varying market conditions and time frames.</w:t>
      </w:r>
    </w:p>
    <w:p w14:paraId="43EEB662" w14:textId="178F660E" w:rsidR="00B47827" w:rsidRPr="00C55A94" w:rsidRDefault="00B47827" w:rsidP="00B47827">
      <w:pPr>
        <w:numPr>
          <w:ilvl w:val="0"/>
          <w:numId w:val="4"/>
        </w:numPr>
        <w:rPr>
          <w:rFonts w:ascii="Times New Roman" w:hAnsi="Times New Roman" w:cs="Times New Roman"/>
        </w:rPr>
      </w:pPr>
      <w:r w:rsidRPr="00C55A94">
        <w:rPr>
          <w:rFonts w:ascii="Times New Roman" w:hAnsi="Times New Roman" w:cs="Times New Roman"/>
          <w:b/>
          <w:bCs/>
        </w:rPr>
        <w:t>Model Fit:</w:t>
      </w:r>
      <w:r w:rsidRPr="00C55A94">
        <w:rPr>
          <w:rFonts w:ascii="Times New Roman" w:hAnsi="Times New Roman" w:cs="Times New Roman"/>
        </w:rPr>
        <w:t xml:space="preserve"> Both the ARIMA(2,1,2) and GARCH(1,1) models were found to be good statistical fits for their respective datasets. Both models successfully produced white noise residuals (ARIMA p-values: 0.4273 vs 0.7028; GARCH Ljung-Box p-values: 0.07</w:t>
      </w:r>
      <w:r w:rsidR="00523893" w:rsidRPr="00C55A94">
        <w:rPr>
          <w:rFonts w:ascii="Times New Roman" w:hAnsi="Times New Roman" w:cs="Times New Roman" w:hint="eastAsia"/>
        </w:rPr>
        <w:t>77</w:t>
      </w:r>
      <w:r w:rsidRPr="00C55A94">
        <w:rPr>
          <w:rFonts w:ascii="Times New Roman" w:hAnsi="Times New Roman" w:cs="Times New Roman"/>
        </w:rPr>
        <w:t xml:space="preserve"> vs 0.051), validating their structural appropriateness. Both GARCH models also confirmed extremely high volatility persistence (0.935 vs 0.988).</w:t>
      </w:r>
    </w:p>
    <w:p w14:paraId="37D79DB3" w14:textId="0A2EDDE1" w:rsidR="00B47827" w:rsidRPr="00C55A94" w:rsidRDefault="00C6235F" w:rsidP="00B47827">
      <w:pPr>
        <w:rPr>
          <w:rFonts w:ascii="Times New Roman" w:hAnsi="Times New Roman" w:cs="Times New Roman"/>
        </w:rPr>
      </w:pPr>
      <w:r w:rsidRPr="00C55A94">
        <w:rPr>
          <w:rFonts w:ascii="Times New Roman" w:hAnsi="Times New Roman" w:cs="Times New Roman"/>
        </w:rPr>
        <w:t>Differences in prediction results</w:t>
      </w:r>
      <w:r w:rsidR="00B47827" w:rsidRPr="00C55A94">
        <w:rPr>
          <w:rFonts w:ascii="Times New Roman" w:hAnsi="Times New Roman" w:cs="Times New Roman"/>
        </w:rPr>
        <w:t>:</w:t>
      </w:r>
    </w:p>
    <w:p w14:paraId="65C9BC88" w14:textId="77777777" w:rsidR="00B47827" w:rsidRPr="00C55A94" w:rsidRDefault="00B47827" w:rsidP="00B47827">
      <w:pPr>
        <w:numPr>
          <w:ilvl w:val="0"/>
          <w:numId w:val="5"/>
        </w:numPr>
        <w:rPr>
          <w:rFonts w:ascii="Times New Roman" w:hAnsi="Times New Roman" w:cs="Times New Roman"/>
        </w:rPr>
      </w:pPr>
      <w:r w:rsidRPr="00C55A94">
        <w:rPr>
          <w:rFonts w:ascii="Times New Roman" w:hAnsi="Times New Roman" w:cs="Times New Roman"/>
          <w:b/>
          <w:bCs/>
        </w:rPr>
        <w:t>ARIMA:</w:t>
      </w:r>
      <w:r w:rsidRPr="00C55A94">
        <w:rPr>
          <w:rFonts w:ascii="Times New Roman" w:hAnsi="Times New Roman" w:cs="Times New Roman"/>
        </w:rPr>
        <w:t xml:space="preserve"> Forecasting performance diverged significantly. The group's model had a very high RMSE (172.24) but low MAPE (4.41%), whereas the individual model showed the opposite pattern (RMSE 31.19, MAPE 12.35%).</w:t>
      </w:r>
    </w:p>
    <w:p w14:paraId="0752ABD0" w14:textId="77777777" w:rsidR="00B47827" w:rsidRPr="00C55A94" w:rsidRDefault="00B47827" w:rsidP="00B47827">
      <w:pPr>
        <w:numPr>
          <w:ilvl w:val="0"/>
          <w:numId w:val="5"/>
        </w:numPr>
        <w:rPr>
          <w:rFonts w:ascii="Times New Roman" w:hAnsi="Times New Roman" w:cs="Times New Roman"/>
        </w:rPr>
      </w:pPr>
      <w:r w:rsidRPr="00C55A94">
        <w:rPr>
          <w:rFonts w:ascii="Times New Roman" w:hAnsi="Times New Roman" w:cs="Times New Roman"/>
          <w:b/>
          <w:bCs/>
        </w:rPr>
        <w:t>GARCH:</w:t>
      </w:r>
      <w:r w:rsidRPr="00C55A94">
        <w:rPr>
          <w:rFonts w:ascii="Times New Roman" w:hAnsi="Times New Roman" w:cs="Times New Roman"/>
        </w:rPr>
        <w:t xml:space="preserve"> The GARCH mean forecast accuracy also differed, with the group's RMSE (0.670) being superior to the individual RMSE (1.321).</w:t>
      </w:r>
    </w:p>
    <w:p w14:paraId="3230FA76" w14:textId="03A7DF65" w:rsidR="00B47827" w:rsidRPr="00C55A94" w:rsidRDefault="00A54173" w:rsidP="00103CF3">
      <w:pPr>
        <w:rPr>
          <w:rFonts w:ascii="Times New Roman" w:hAnsi="Times New Roman" w:cs="Times New Roman"/>
        </w:rPr>
      </w:pPr>
      <w:r w:rsidRPr="00C55A94">
        <w:rPr>
          <w:rFonts w:ascii="Times New Roman" w:hAnsi="Times New Roman" w:cs="Times New Roman"/>
        </w:rPr>
        <w:t>The divergence reflects different market regimes.</w:t>
      </w:r>
      <w:r w:rsidR="00B47827" w:rsidRPr="00C55A94">
        <w:rPr>
          <w:rFonts w:ascii="Times New Roman" w:hAnsi="Times New Roman" w:cs="Times New Roman"/>
        </w:rPr>
        <w:t xml:space="preserve"> The group data (2023-2024) represents a recent period, while the individual data (2008-2011) covers the extreme downturn and subsequent non-linear recovery following the Global Financial Crisis. The individual ARIMA model, effectively a random walk, failed to predict this structural break, resulting in its high MAPE. This comparison confirms that while ARIMA/GARCH models are structurally sound, their forecasting power is unreliable during periods of extreme volatility and non-linear market movements.</w:t>
      </w:r>
    </w:p>
    <w:p w14:paraId="6DE10CAD" w14:textId="642C3D42" w:rsidR="00103CF3" w:rsidRPr="00C55A94" w:rsidRDefault="00103CF3" w:rsidP="002F47AE">
      <w:pPr>
        <w:pStyle w:val="Heading1"/>
        <w:rPr>
          <w:sz w:val="30"/>
          <w:szCs w:val="30"/>
        </w:rPr>
      </w:pPr>
      <w:r w:rsidRPr="00C55A94">
        <w:rPr>
          <w:sz w:val="30"/>
          <w:szCs w:val="30"/>
        </w:rPr>
        <w:t>Reflection</w:t>
      </w:r>
    </w:p>
    <w:p w14:paraId="65120211" w14:textId="79D899F3" w:rsidR="00B410F1" w:rsidRPr="00C55A94" w:rsidRDefault="00D61FC3" w:rsidP="00B410F1">
      <w:pPr>
        <w:rPr>
          <w:rFonts w:ascii="Times New Roman" w:hAnsi="Times New Roman" w:cs="Times New Roman"/>
        </w:rPr>
      </w:pPr>
      <w:r w:rsidRPr="00C55A94">
        <w:rPr>
          <w:rFonts w:ascii="Times New Roman" w:hAnsi="Times New Roman" w:cs="Times New Roman"/>
        </w:rPr>
        <w:t>The key learning outcome for me was understanding the difference between a statistically adequate model and one that delivers meaningful forecasts</w:t>
      </w:r>
      <w:r w:rsidR="00B410F1" w:rsidRPr="00C55A94">
        <w:rPr>
          <w:rFonts w:ascii="Times New Roman" w:hAnsi="Times New Roman" w:cs="Times New Roman"/>
        </w:rPr>
        <w:t xml:space="preserve">. Our team divided tasks efficiently: others led the Data Analysis and ARIMA modelling, while another member and I jointly handled the GARCH(1,1) </w:t>
      </w:r>
      <w:r w:rsidRPr="00C55A94">
        <w:rPr>
          <w:rFonts w:ascii="Times New Roman" w:hAnsi="Times New Roman" w:cs="Times New Roman" w:hint="eastAsia"/>
        </w:rPr>
        <w:t xml:space="preserve">forecasting and </w:t>
      </w:r>
      <w:r w:rsidR="00B410F1" w:rsidRPr="00C55A94">
        <w:rPr>
          <w:rFonts w:ascii="Times New Roman" w:hAnsi="Times New Roman" w:cs="Times New Roman"/>
        </w:rPr>
        <w:t>estimation. Together, we interpreted the alpha and beta coefficients, calculated volatility persistence, and performed the Ljung–Box diagnostics. We also contributed to drafting the “ARIMA &amp; GARCH Evaluation” section.</w:t>
      </w:r>
    </w:p>
    <w:p w14:paraId="7EE644BA" w14:textId="06498859" w:rsidR="00B410F1" w:rsidRPr="00C55A94" w:rsidRDefault="00B410F1" w:rsidP="00B410F1">
      <w:pPr>
        <w:rPr>
          <w:rFonts w:ascii="Times New Roman" w:hAnsi="Times New Roman" w:cs="Times New Roman"/>
        </w:rPr>
      </w:pPr>
      <w:r w:rsidRPr="00C55A94">
        <w:rPr>
          <w:rFonts w:ascii="Times New Roman" w:hAnsi="Times New Roman" w:cs="Times New Roman"/>
        </w:rPr>
        <w:t>The area I contributed least to was the ARIMA model selection, which was handled by other team members. My individual ARIMA model was well-fitted (Ljung–Box p = 0.7028) but produced a weak forecast (MAPE = 12.35%), reinforcing that predictive accuracy depends on both model design and market conditions.</w:t>
      </w:r>
    </w:p>
    <w:p w14:paraId="239E5A62" w14:textId="4F418477" w:rsidR="004B2212" w:rsidRDefault="00360C2A" w:rsidP="00B410F1">
      <w:pPr>
        <w:rPr>
          <w:rFonts w:ascii="Times New Roman" w:hAnsi="Times New Roman" w:cs="Times New Roman"/>
        </w:rPr>
      </w:pPr>
      <w:r w:rsidRPr="00360C2A">
        <w:rPr>
          <w:rFonts w:ascii="Times New Roman" w:hAnsi="Times New Roman" w:cs="Times New Roman"/>
        </w:rPr>
        <w:t xml:space="preserve">Our team worked efficiently through a clear division of tasks and regular communication. Defining roles early helped us stay organised, while continuous updates kept everyone aligned. This collaboration made me </w:t>
      </w:r>
      <w:r w:rsidRPr="00360C2A">
        <w:rPr>
          <w:rFonts w:ascii="Times New Roman" w:hAnsi="Times New Roman" w:cs="Times New Roman"/>
        </w:rPr>
        <w:lastRenderedPageBreak/>
        <w:t>appreciate how planning and communication directly improve the quality and consistency of analytical work.</w:t>
      </w:r>
    </w:p>
    <w:p w14:paraId="19C8A78E" w14:textId="77777777" w:rsidR="00360C2A" w:rsidRDefault="00360C2A" w:rsidP="00B410F1">
      <w:pPr>
        <w:rPr>
          <w:rFonts w:ascii="Times New Roman" w:hAnsi="Times New Roman" w:cs="Times New Roman"/>
        </w:rPr>
      </w:pPr>
    </w:p>
    <w:p w14:paraId="004B19C7" w14:textId="77777777" w:rsidR="00360C2A" w:rsidRDefault="00360C2A" w:rsidP="00B410F1">
      <w:pPr>
        <w:rPr>
          <w:rFonts w:ascii="Times New Roman" w:hAnsi="Times New Roman" w:cs="Times New Roman"/>
        </w:rPr>
      </w:pPr>
    </w:p>
    <w:p w14:paraId="1AEEDE74" w14:textId="77777777" w:rsidR="00360C2A" w:rsidRPr="00C55A94" w:rsidRDefault="00360C2A" w:rsidP="00B410F1">
      <w:pPr>
        <w:rPr>
          <w:rFonts w:ascii="Times New Roman" w:hAnsi="Times New Roman" w:cs="Times New Roman"/>
        </w:rPr>
      </w:pPr>
    </w:p>
    <w:p w14:paraId="0A40E683" w14:textId="77777777" w:rsidR="004B2212" w:rsidRPr="00C55A94" w:rsidRDefault="004B2212" w:rsidP="002F47AE">
      <w:pPr>
        <w:pStyle w:val="Heading1"/>
        <w:rPr>
          <w:sz w:val="30"/>
          <w:szCs w:val="30"/>
        </w:rPr>
      </w:pPr>
      <w:r w:rsidRPr="00C55A94">
        <w:rPr>
          <w:sz w:val="30"/>
          <w:szCs w:val="30"/>
        </w:rPr>
        <w:t>Appendix – Generative AI Declarations</w:t>
      </w:r>
    </w:p>
    <w:tbl>
      <w:tblPr>
        <w:tblStyle w:val="TableGrid"/>
        <w:tblW w:w="0" w:type="auto"/>
        <w:tblLook w:val="04A0" w:firstRow="1" w:lastRow="0" w:firstColumn="1" w:lastColumn="0" w:noHBand="0" w:noVBand="1"/>
      </w:tblPr>
      <w:tblGrid>
        <w:gridCol w:w="9016"/>
      </w:tblGrid>
      <w:tr w:rsidR="004B2212" w:rsidRPr="00C55A94" w14:paraId="54C142BE" w14:textId="77777777" w:rsidTr="00FE443E">
        <w:tc>
          <w:tcPr>
            <w:tcW w:w="9016" w:type="dxa"/>
          </w:tcPr>
          <w:p w14:paraId="76D7ED8D" w14:textId="77777777" w:rsidR="004B2212" w:rsidRPr="00C55A94" w:rsidRDefault="004B2212" w:rsidP="00FE443E">
            <w:r w:rsidRPr="00C55A94">
              <w:t>Generative AI Statement – please briefly discuss the use of GenAI in your group work</w:t>
            </w:r>
          </w:p>
        </w:tc>
      </w:tr>
      <w:tr w:rsidR="004B2212" w:rsidRPr="00C55A94" w14:paraId="16233684" w14:textId="77777777" w:rsidTr="00FE443E">
        <w:tc>
          <w:tcPr>
            <w:tcW w:w="9016" w:type="dxa"/>
          </w:tcPr>
          <w:p w14:paraId="152A4B11" w14:textId="77777777" w:rsidR="004B2212" w:rsidRPr="00C55A94" w:rsidRDefault="004B2212" w:rsidP="00FE443E">
            <w:r w:rsidRPr="00C55A94">
              <w:rPr>
                <w:rFonts w:hint="eastAsia"/>
                <w:lang w:eastAsia="zh-CN"/>
              </w:rPr>
              <w:t xml:space="preserve">For my individual report, </w:t>
            </w:r>
            <w:r w:rsidRPr="00C55A94">
              <w:t xml:space="preserve">I only used Generative AI for its acceptable diagnostic use in R Studio. When I had problems with running my R code </w:t>
            </w:r>
            <w:r w:rsidRPr="00C55A94">
              <w:rPr>
                <w:rFonts w:hint="eastAsia"/>
                <w:lang w:eastAsia="zh-CN"/>
              </w:rPr>
              <w:t>such as</w:t>
            </w:r>
            <w:r w:rsidRPr="00C55A94">
              <w:t xml:space="preserve"> </w:t>
            </w:r>
            <w:proofErr w:type="spellStart"/>
            <w:r w:rsidRPr="00C55A94">
              <w:t>colnames</w:t>
            </w:r>
            <w:proofErr w:type="spellEnd"/>
            <w:r w:rsidRPr="00C55A94">
              <w:t xml:space="preserve"> issues, object not found errors</w:t>
            </w:r>
            <w:r w:rsidRPr="00C55A94">
              <w:rPr>
                <w:rFonts w:hint="eastAsia"/>
                <w:lang w:eastAsia="zh-CN"/>
              </w:rPr>
              <w:t xml:space="preserve"> </w:t>
            </w:r>
            <w:r w:rsidRPr="00C55A94">
              <w:t>where I couldn't determine fixes for them, I used the AI to assist me in changing the code that wouldn't execute. The AI was not used to create code from scratch or to finalize the analysis.</w:t>
            </w:r>
          </w:p>
          <w:p w14:paraId="128E8F10" w14:textId="77777777" w:rsidR="004B2212" w:rsidRPr="00C55A94" w:rsidRDefault="004B2212" w:rsidP="00FE443E"/>
          <w:p w14:paraId="02132206" w14:textId="77777777" w:rsidR="004B2212" w:rsidRPr="00C55A94" w:rsidRDefault="004B2212" w:rsidP="00FE443E"/>
          <w:p w14:paraId="330CDF0D" w14:textId="77777777" w:rsidR="004B2212" w:rsidRPr="00C55A94" w:rsidRDefault="004B2212" w:rsidP="00FE443E"/>
          <w:p w14:paraId="0FD5C946" w14:textId="77777777" w:rsidR="004B2212" w:rsidRPr="00C55A94" w:rsidRDefault="004B2212" w:rsidP="00FE443E"/>
          <w:p w14:paraId="17973ADA" w14:textId="77777777" w:rsidR="004B2212" w:rsidRPr="00C55A94" w:rsidRDefault="004B2212" w:rsidP="00FE443E"/>
          <w:p w14:paraId="1FB98E6B" w14:textId="77777777" w:rsidR="004B2212" w:rsidRPr="00C55A94" w:rsidRDefault="004B2212" w:rsidP="00FE443E"/>
          <w:p w14:paraId="2C9974D1" w14:textId="77777777" w:rsidR="004B2212" w:rsidRPr="00C55A94" w:rsidRDefault="004B2212" w:rsidP="00FE443E"/>
        </w:tc>
      </w:tr>
    </w:tbl>
    <w:p w14:paraId="5A85CBF2" w14:textId="77777777" w:rsidR="00360C2A" w:rsidRDefault="00360C2A" w:rsidP="00B410F1">
      <w:pPr>
        <w:rPr>
          <w:rFonts w:ascii="Times New Roman" w:hAnsi="Times New Roman" w:cs="Times New Roman"/>
        </w:rPr>
      </w:pPr>
    </w:p>
    <w:p w14:paraId="14E18DCC" w14:textId="77777777" w:rsidR="00360C2A" w:rsidRDefault="00360C2A" w:rsidP="00B410F1">
      <w:pPr>
        <w:rPr>
          <w:rFonts w:ascii="Times New Roman" w:hAnsi="Times New Roman" w:cs="Times New Roman"/>
        </w:rPr>
      </w:pPr>
    </w:p>
    <w:p w14:paraId="051E9D16" w14:textId="77777777" w:rsidR="00360C2A" w:rsidRDefault="00360C2A" w:rsidP="00B410F1">
      <w:pPr>
        <w:rPr>
          <w:rFonts w:ascii="Times New Roman" w:hAnsi="Times New Roman" w:cs="Times New Roman"/>
        </w:rPr>
      </w:pPr>
    </w:p>
    <w:p w14:paraId="147AF595" w14:textId="77777777" w:rsidR="00360C2A" w:rsidRDefault="00360C2A" w:rsidP="00B410F1">
      <w:pPr>
        <w:rPr>
          <w:rFonts w:ascii="Times New Roman" w:hAnsi="Times New Roman" w:cs="Times New Roman"/>
        </w:rPr>
      </w:pPr>
    </w:p>
    <w:p w14:paraId="542CFEA0" w14:textId="77777777" w:rsidR="00360C2A" w:rsidRDefault="00360C2A" w:rsidP="00B410F1">
      <w:pPr>
        <w:rPr>
          <w:rFonts w:ascii="Times New Roman" w:hAnsi="Times New Roman" w:cs="Times New Roman"/>
        </w:rPr>
      </w:pPr>
    </w:p>
    <w:p w14:paraId="3F33F09C" w14:textId="77777777" w:rsidR="00360C2A" w:rsidRDefault="00360C2A" w:rsidP="00B410F1">
      <w:pPr>
        <w:rPr>
          <w:rFonts w:ascii="Times New Roman" w:hAnsi="Times New Roman" w:cs="Times New Roman"/>
        </w:rPr>
      </w:pPr>
    </w:p>
    <w:p w14:paraId="60B1ABB1" w14:textId="77777777" w:rsidR="00360C2A" w:rsidRDefault="00360C2A" w:rsidP="00B410F1">
      <w:pPr>
        <w:rPr>
          <w:rFonts w:ascii="Times New Roman" w:hAnsi="Times New Roman" w:cs="Times New Roman"/>
        </w:rPr>
      </w:pPr>
    </w:p>
    <w:p w14:paraId="7C97D729" w14:textId="77777777" w:rsidR="00360C2A" w:rsidRDefault="00360C2A" w:rsidP="00B410F1">
      <w:pPr>
        <w:rPr>
          <w:rFonts w:ascii="Times New Roman" w:hAnsi="Times New Roman" w:cs="Times New Roman"/>
        </w:rPr>
      </w:pPr>
    </w:p>
    <w:p w14:paraId="1D8A1B70" w14:textId="77777777" w:rsidR="00360C2A" w:rsidRDefault="00360C2A" w:rsidP="00B410F1">
      <w:pPr>
        <w:rPr>
          <w:rFonts w:ascii="Times New Roman" w:hAnsi="Times New Roman" w:cs="Times New Roman"/>
        </w:rPr>
      </w:pPr>
    </w:p>
    <w:p w14:paraId="216FBD5B" w14:textId="77777777" w:rsidR="00360C2A" w:rsidRDefault="00360C2A" w:rsidP="00B410F1">
      <w:pPr>
        <w:rPr>
          <w:rFonts w:ascii="Times New Roman" w:hAnsi="Times New Roman" w:cs="Times New Roman"/>
        </w:rPr>
      </w:pPr>
    </w:p>
    <w:p w14:paraId="1FB51131" w14:textId="77777777" w:rsidR="00360C2A" w:rsidRDefault="00360C2A" w:rsidP="00B410F1">
      <w:pPr>
        <w:rPr>
          <w:rFonts w:ascii="Times New Roman" w:hAnsi="Times New Roman" w:cs="Times New Roman"/>
        </w:rPr>
      </w:pPr>
    </w:p>
    <w:p w14:paraId="306A82EB" w14:textId="77777777" w:rsidR="00360C2A" w:rsidRDefault="00360C2A" w:rsidP="00B410F1">
      <w:pPr>
        <w:rPr>
          <w:rFonts w:ascii="Times New Roman" w:hAnsi="Times New Roman" w:cs="Times New Roman"/>
        </w:rPr>
      </w:pPr>
    </w:p>
    <w:p w14:paraId="3FA2EE15" w14:textId="77777777" w:rsidR="00360C2A" w:rsidRPr="00C55A94" w:rsidRDefault="00360C2A" w:rsidP="00B410F1">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4B2212" w:rsidRPr="00C55A94" w14:paraId="54A31857" w14:textId="77777777" w:rsidTr="00FE443E">
        <w:tc>
          <w:tcPr>
            <w:tcW w:w="9016" w:type="dxa"/>
          </w:tcPr>
          <w:p w14:paraId="4918B9F7" w14:textId="77777777" w:rsidR="004B2212" w:rsidRPr="00C55A94" w:rsidRDefault="004B2212" w:rsidP="00FE443E">
            <w:r w:rsidRPr="00C55A94">
              <w:lastRenderedPageBreak/>
              <w:t>Please paste prompts and responses from GenAI tools below</w:t>
            </w:r>
          </w:p>
        </w:tc>
      </w:tr>
      <w:tr w:rsidR="004B2212" w:rsidRPr="00C55A94" w14:paraId="36FD807F" w14:textId="77777777" w:rsidTr="00FE443E">
        <w:tc>
          <w:tcPr>
            <w:tcW w:w="9016" w:type="dxa"/>
          </w:tcPr>
          <w:p w14:paraId="0FE992C2" w14:textId="77777777" w:rsidR="004B2212" w:rsidRPr="00C55A94" w:rsidRDefault="004B2212" w:rsidP="00FE443E">
            <w:r w:rsidRPr="00C55A94">
              <w:rPr>
                <w:noProof/>
              </w:rPr>
              <w:drawing>
                <wp:inline distT="0" distB="0" distL="0" distR="0" wp14:anchorId="36374A39" wp14:editId="66CF2438">
                  <wp:extent cx="3793490" cy="4015399"/>
                  <wp:effectExtent l="0" t="0" r="0" b="4445"/>
                  <wp:docPr id="169051757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7572" name="Picture 1" descr="A screenshot of a black screen&#10;&#10;AI-generated content may be incorrect."/>
                          <pic:cNvPicPr/>
                        </pic:nvPicPr>
                        <pic:blipFill>
                          <a:blip r:embed="rId16"/>
                          <a:stretch>
                            <a:fillRect/>
                          </a:stretch>
                        </pic:blipFill>
                        <pic:spPr>
                          <a:xfrm>
                            <a:off x="0" y="0"/>
                            <a:ext cx="3810809" cy="4033731"/>
                          </a:xfrm>
                          <a:prstGeom prst="rect">
                            <a:avLst/>
                          </a:prstGeom>
                        </pic:spPr>
                      </pic:pic>
                    </a:graphicData>
                  </a:graphic>
                </wp:inline>
              </w:drawing>
            </w:r>
          </w:p>
          <w:p w14:paraId="0EAFC517" w14:textId="77777777" w:rsidR="004B2212" w:rsidRPr="00C55A94" w:rsidRDefault="004B2212" w:rsidP="00FE443E"/>
          <w:p w14:paraId="5CC2C49C" w14:textId="6D2D6E12" w:rsidR="004B2212" w:rsidRPr="00C55A94" w:rsidRDefault="004B2212" w:rsidP="00FE443E">
            <w:r w:rsidRPr="00C55A94">
              <w:rPr>
                <w:noProof/>
              </w:rPr>
              <w:drawing>
                <wp:inline distT="0" distB="0" distL="0" distR="0" wp14:anchorId="38FAECD3" wp14:editId="33AD6BD0">
                  <wp:extent cx="3826329" cy="3793264"/>
                  <wp:effectExtent l="0" t="0" r="3175" b="0"/>
                  <wp:docPr id="1362294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4784" name="Picture 1" descr="A screenshot of a computer&#10;&#10;AI-generated content may be incorrect."/>
                          <pic:cNvPicPr/>
                        </pic:nvPicPr>
                        <pic:blipFill>
                          <a:blip r:embed="rId17"/>
                          <a:stretch>
                            <a:fillRect/>
                          </a:stretch>
                        </pic:blipFill>
                        <pic:spPr>
                          <a:xfrm>
                            <a:off x="0" y="0"/>
                            <a:ext cx="3880276" cy="3846745"/>
                          </a:xfrm>
                          <a:prstGeom prst="rect">
                            <a:avLst/>
                          </a:prstGeom>
                        </pic:spPr>
                      </pic:pic>
                    </a:graphicData>
                  </a:graphic>
                </wp:inline>
              </w:drawing>
            </w:r>
          </w:p>
        </w:tc>
      </w:tr>
    </w:tbl>
    <w:p w14:paraId="3CA3C00D" w14:textId="1E8EF3D8" w:rsidR="00360C2A" w:rsidRPr="00D61FC3" w:rsidRDefault="00360C2A" w:rsidP="00B410F1">
      <w:pPr>
        <w:rPr>
          <w:rFonts w:ascii="Times New Roman" w:hAnsi="Times New Roman" w:cs="Times New Roman"/>
        </w:rPr>
      </w:pPr>
    </w:p>
    <w:sectPr w:rsidR="00360C2A" w:rsidRPr="00D61FC3" w:rsidSect="00103CF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1F3A"/>
    <w:multiLevelType w:val="multilevel"/>
    <w:tmpl w:val="591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82ABE"/>
    <w:multiLevelType w:val="multilevel"/>
    <w:tmpl w:val="C77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4A18"/>
    <w:multiLevelType w:val="hybridMultilevel"/>
    <w:tmpl w:val="6D282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C43324"/>
    <w:multiLevelType w:val="multilevel"/>
    <w:tmpl w:val="3B9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2210C"/>
    <w:multiLevelType w:val="multilevel"/>
    <w:tmpl w:val="E36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5358C"/>
    <w:multiLevelType w:val="multilevel"/>
    <w:tmpl w:val="F2B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170035">
    <w:abstractNumId w:val="0"/>
  </w:num>
  <w:num w:numId="2" w16cid:durableId="488254549">
    <w:abstractNumId w:val="1"/>
  </w:num>
  <w:num w:numId="3" w16cid:durableId="1371494842">
    <w:abstractNumId w:val="5"/>
  </w:num>
  <w:num w:numId="4" w16cid:durableId="687559200">
    <w:abstractNumId w:val="3"/>
  </w:num>
  <w:num w:numId="5" w16cid:durableId="1089161057">
    <w:abstractNumId w:val="4"/>
  </w:num>
  <w:num w:numId="6" w16cid:durableId="50745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F3"/>
    <w:rsid w:val="0002212E"/>
    <w:rsid w:val="00080D54"/>
    <w:rsid w:val="000B006C"/>
    <w:rsid w:val="000C1FFF"/>
    <w:rsid w:val="000E784A"/>
    <w:rsid w:val="00103CF3"/>
    <w:rsid w:val="001B5C83"/>
    <w:rsid w:val="002D5D2A"/>
    <w:rsid w:val="002F47AE"/>
    <w:rsid w:val="00360C2A"/>
    <w:rsid w:val="003C5CD7"/>
    <w:rsid w:val="00442266"/>
    <w:rsid w:val="004B2212"/>
    <w:rsid w:val="00523893"/>
    <w:rsid w:val="00747A6E"/>
    <w:rsid w:val="007C19F7"/>
    <w:rsid w:val="00887BB7"/>
    <w:rsid w:val="00926FF8"/>
    <w:rsid w:val="009F19B2"/>
    <w:rsid w:val="00A54173"/>
    <w:rsid w:val="00B410F1"/>
    <w:rsid w:val="00B47827"/>
    <w:rsid w:val="00B67DDA"/>
    <w:rsid w:val="00C147B4"/>
    <w:rsid w:val="00C45D81"/>
    <w:rsid w:val="00C55A94"/>
    <w:rsid w:val="00C6235F"/>
    <w:rsid w:val="00C846DD"/>
    <w:rsid w:val="00CB0B5B"/>
    <w:rsid w:val="00D61FC3"/>
    <w:rsid w:val="00D9149F"/>
    <w:rsid w:val="00DC6168"/>
    <w:rsid w:val="00E64786"/>
    <w:rsid w:val="00E70AF3"/>
    <w:rsid w:val="00ED30E7"/>
    <w:rsid w:val="00EF4C64"/>
    <w:rsid w:val="00F3312F"/>
    <w:rsid w:val="00F57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D07A"/>
  <w15:chartTrackingRefBased/>
  <w15:docId w15:val="{B3EE663B-BE16-46EC-B6B1-2D5C8CFB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1">
    <w:name w:val="heading 1"/>
    <w:basedOn w:val="Normal"/>
    <w:next w:val="Normal"/>
    <w:link w:val="Heading1Char"/>
    <w:uiPriority w:val="9"/>
    <w:qFormat/>
    <w:rsid w:val="00103C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103C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03C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03CF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03CF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03CF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03CF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03CF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03CF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CF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103CF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03CF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03CF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03CF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03CF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03CF3"/>
    <w:rPr>
      <w:rFonts w:cstheme="majorBidi"/>
      <w:b/>
      <w:bCs/>
      <w:color w:val="595959" w:themeColor="text1" w:themeTint="A6"/>
    </w:rPr>
  </w:style>
  <w:style w:type="character" w:customStyle="1" w:styleId="Heading8Char">
    <w:name w:val="Heading 8 Char"/>
    <w:basedOn w:val="DefaultParagraphFont"/>
    <w:link w:val="Heading8"/>
    <w:uiPriority w:val="9"/>
    <w:semiHidden/>
    <w:rsid w:val="00103CF3"/>
    <w:rPr>
      <w:rFonts w:cstheme="majorBidi"/>
      <w:color w:val="595959" w:themeColor="text1" w:themeTint="A6"/>
    </w:rPr>
  </w:style>
  <w:style w:type="character" w:customStyle="1" w:styleId="Heading9Char">
    <w:name w:val="Heading 9 Char"/>
    <w:basedOn w:val="DefaultParagraphFont"/>
    <w:link w:val="Heading9"/>
    <w:uiPriority w:val="9"/>
    <w:semiHidden/>
    <w:rsid w:val="00103CF3"/>
    <w:rPr>
      <w:rFonts w:eastAsiaTheme="majorEastAsia" w:cstheme="majorBidi"/>
      <w:color w:val="595959" w:themeColor="text1" w:themeTint="A6"/>
    </w:rPr>
  </w:style>
  <w:style w:type="paragraph" w:styleId="Title">
    <w:name w:val="Title"/>
    <w:basedOn w:val="Normal"/>
    <w:next w:val="Normal"/>
    <w:link w:val="TitleChar"/>
    <w:uiPriority w:val="10"/>
    <w:qFormat/>
    <w:rsid w:val="00103C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C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CF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03CF3"/>
    <w:pPr>
      <w:spacing w:before="160"/>
      <w:jc w:val="center"/>
    </w:pPr>
    <w:rPr>
      <w:i/>
      <w:iCs/>
      <w:color w:val="404040" w:themeColor="text1" w:themeTint="BF"/>
    </w:rPr>
  </w:style>
  <w:style w:type="character" w:customStyle="1" w:styleId="QuoteChar">
    <w:name w:val="Quote Char"/>
    <w:basedOn w:val="DefaultParagraphFont"/>
    <w:link w:val="Quote"/>
    <w:uiPriority w:val="29"/>
    <w:rsid w:val="00103CF3"/>
    <w:rPr>
      <w:i/>
      <w:iCs/>
      <w:color w:val="404040" w:themeColor="text1" w:themeTint="BF"/>
    </w:rPr>
  </w:style>
  <w:style w:type="paragraph" w:styleId="ListParagraph">
    <w:name w:val="List Paragraph"/>
    <w:basedOn w:val="Normal"/>
    <w:uiPriority w:val="34"/>
    <w:qFormat/>
    <w:rsid w:val="00103CF3"/>
    <w:pPr>
      <w:ind w:left="720"/>
      <w:contextualSpacing/>
    </w:pPr>
  </w:style>
  <w:style w:type="character" w:styleId="IntenseEmphasis">
    <w:name w:val="Intense Emphasis"/>
    <w:basedOn w:val="DefaultParagraphFont"/>
    <w:uiPriority w:val="21"/>
    <w:qFormat/>
    <w:rsid w:val="00103CF3"/>
    <w:rPr>
      <w:i/>
      <w:iCs/>
      <w:color w:val="0F4761" w:themeColor="accent1" w:themeShade="BF"/>
    </w:rPr>
  </w:style>
  <w:style w:type="paragraph" w:styleId="IntenseQuote">
    <w:name w:val="Intense Quote"/>
    <w:basedOn w:val="Normal"/>
    <w:next w:val="Normal"/>
    <w:link w:val="IntenseQuoteChar"/>
    <w:uiPriority w:val="30"/>
    <w:qFormat/>
    <w:rsid w:val="0010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CF3"/>
    <w:rPr>
      <w:i/>
      <w:iCs/>
      <w:color w:val="0F4761" w:themeColor="accent1" w:themeShade="BF"/>
    </w:rPr>
  </w:style>
  <w:style w:type="character" w:styleId="IntenseReference">
    <w:name w:val="Intense Reference"/>
    <w:basedOn w:val="DefaultParagraphFont"/>
    <w:uiPriority w:val="32"/>
    <w:qFormat/>
    <w:rsid w:val="00103CF3"/>
    <w:rPr>
      <w:b/>
      <w:bCs/>
      <w:smallCaps/>
      <w:color w:val="0F4761" w:themeColor="accent1" w:themeShade="BF"/>
      <w:spacing w:val="5"/>
    </w:rPr>
  </w:style>
  <w:style w:type="paragraph" w:styleId="NormalWeb">
    <w:name w:val="Normal (Web)"/>
    <w:basedOn w:val="Normal"/>
    <w:uiPriority w:val="99"/>
    <w:semiHidden/>
    <w:unhideWhenUsed/>
    <w:rsid w:val="00A54173"/>
    <w:rPr>
      <w:rFonts w:ascii="Times New Roman" w:hAnsi="Times New Roman" w:cs="Times New Roman"/>
      <w:sz w:val="24"/>
    </w:rPr>
  </w:style>
  <w:style w:type="table" w:styleId="TableGrid">
    <w:name w:val="Table Grid"/>
    <w:basedOn w:val="TableNormal"/>
    <w:uiPriority w:val="39"/>
    <w:rsid w:val="004B2212"/>
    <w:pPr>
      <w:spacing w:after="0" w:line="240" w:lineRule="auto"/>
    </w:pPr>
    <w:rPr>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F47AE"/>
    <w:rPr>
      <w:i/>
      <w:iCs/>
      <w:color w:val="404040" w:themeColor="text1" w:themeTint="BF"/>
    </w:rPr>
  </w:style>
  <w:style w:type="paragraph" w:styleId="Revision">
    <w:name w:val="Revision"/>
    <w:hidden/>
    <w:uiPriority w:val="99"/>
    <w:semiHidden/>
    <w:rsid w:val="00C55A9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9</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WU</dc:creator>
  <cp:keywords/>
  <dc:description/>
  <cp:lastModifiedBy>Mateo WU</cp:lastModifiedBy>
  <cp:revision>13</cp:revision>
  <dcterms:created xsi:type="dcterms:W3CDTF">2025-10-29T18:57:00Z</dcterms:created>
  <dcterms:modified xsi:type="dcterms:W3CDTF">2025-12-15T12:49:00Z</dcterms:modified>
</cp:coreProperties>
</file>