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台灣房屋銷售價格預測挑戰賽</w:t>
      </w:r>
    </w:p>
    <w:p>
      <w:r>
        <w:rPr>
          <w:b w:val="0"/>
        </w:rPr>
        <w:t>姓名：廖子頤　　學號：315581048</w:t>
      </w:r>
    </w:p>
    <w:p>
      <w:pPr>
        <w:pStyle w:val="Heading1"/>
      </w:pPr>
      <w:r>
        <w:t>摘要</w:t>
      </w:r>
    </w:p>
    <w:p>
      <w:r>
        <w:rPr>
          <w:b w:val="0"/>
        </w:rPr>
        <w:t>利用課程提供的房屋交易資料，依地點、面積、樓層、房屋類型與交易時間估計每筆交易的總價。資料先經清理與格式轉換，再交由六個模型學習不同的價格表示。各模型的答案換回總價後，組成三路預測，加入成交參考及空間修正，最後以三路的中位數產生提交答案。</w:t>
      </w:r>
    </w:p>
    <w:p>
      <w:r>
        <w:rPr>
          <w:b w:val="0"/>
        </w:rPr>
        <w:t>本文依實際估價流程說明每一步的用途與設計理由。資料清理和文字轉換列在正文；模型設定、驗證結果及限制則各自說明，便於對照方法與證據。</w:t>
      </w:r>
    </w:p>
    <w:p>
      <w:pPr>
        <w:pStyle w:val="Heading1"/>
      </w:pPr>
      <w:r>
        <w:t>1 目標與評估指標</w:t>
      </w:r>
    </w:p>
    <w:p>
      <w:r>
        <w:rPr>
          <w:b w:val="0"/>
        </w:rPr>
        <w:t>這是回歸任務，也就是預測一個數值。最終答案是新臺幣總價；單價只是部分模型內部的學習方式。訓練資料提供成交總價，讓模型學習房屋條件與價格的關係；測試資料沒有提供總價，需由模型估計。</w:t>
      </w:r>
    </w:p>
    <w:p>
      <w:pPr>
        <w:spacing w:before="80" w:after="200"/>
        <w:jc w:val="center"/>
      </w:pPr>
      <w:r>
        <w:rPr>
          <w:b/>
        </w:rPr>
        <w:t>MAE ＝ 每筆交易的絕對誤差加總 ÷ 交易筆數</w:t>
      </w:r>
    </w:p>
    <w:p>
      <w:r>
        <w:rPr>
          <w:b w:val="0"/>
        </w:rPr>
        <w:t>絕對誤差是不分高估或低估的金額差。例如兩間房屋分別高估100萬元、低估50萬元，MAE就是75萬元。正負誤差不會互相抵銷；MAE也不表示每間房屋都差75萬元。所有正式比較均使用總價MAE，越低越好。</w:t>
      </w:r>
    </w:p>
    <w:p>
      <w:r>
        <w:rPr>
          <w:b w:val="0"/>
        </w:rPr>
        <w:t>閱讀順序：程式流程 → 資料清理與分布 → 特徵 → 模型與融合 → 訓練 → 時間驗證與誤差分析 → 最終答案。[1]</w:t>
      </w:r>
    </w:p>
    <w:p>
      <w:r>
        <w:br w:type="page"/>
      </w:r>
    </w:p>
    <w:p>
      <w:pPr>
        <w:pStyle w:val="Heading1"/>
      </w:pPr>
      <w:r>
        <w:t>2 完整程式流程</w:t>
      </w:r>
    </w:p>
    <w:p>
      <w:pPr>
        <w:keepNext w:val="0"/>
      </w:pPr>
      <w:r>
        <w:t>流程由課程交易表開始，經清理、特徵、六個模型、總價還原與三路修正，產生逐筆總價。箭頭表示資料與預測的傳遞；所有依標籤建立的狀態都受當次訓練範圍限制。[1][2][6]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964800"/>
            <wp:docPr id="2" name="Picture 2" descr="train與最終合併valid、test經解析，fit限定轉換狀態，六模型換回總價組成三路，各路R/S修正後取中位數並輸出CSV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 資料、程式、模型與輸出流程</w:t>
      </w:r>
    </w:p>
    <w:p>
      <w:pPr>
        <w:keepNext w:val="0"/>
      </w:pPr>
      <w:r>
        <w:t>年度驗證時，只用切點以前的train建立fit狀態，切點以後的query標籤留到預測封存後才評分；課程valid到最終階段才合併。test只套用已建立的狀態，不參與詞表、價格參考或模型學習。</w:t>
      </w:r>
    </w:p>
    <w:p>
      <w:pPr>
        <w:keepNext w:val="0"/>
      </w:pPr>
      <w:r>
        <w:t>圖呈現完整架構。實際最終全量階段僅新增訓練參考單價神經網路，其餘五模型沿用保存預測；成交參考與空間狀態也沿用既有保存版本，再重算新的網路路線。</w:t>
      </w:r>
    </w:p>
    <w:p>
      <w:r>
        <w:br w:type="page"/>
      </w:r>
    </w:p>
    <w:p>
      <w:pPr>
        <w:pStyle w:val="Heading1"/>
      </w:pPr>
      <w:r>
        <w:t>3 程式分工與核心寫法</w:t>
      </w:r>
    </w:p>
    <w:p>
      <w:pPr>
        <w:keepNext w:val="0"/>
      </w:pPr>
      <w:r>
        <w:t>資料處理、訓練及最終組合分成不同函式，讓每一步可檢查輸入、列序與檔案身分。下表列出主要程式責任；歷史檔名沿用以便追查。[1][2][6]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25"/>
        <w:gridCol w:w="4082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階段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來源與函式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主要責任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讀取與去重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model_common.py</w:t>
              <w:br/>
              <w:t>load_data / full_training_data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讀課程資料；檢查表頭；按原欄位去重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特徵解析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house_features.py</w:t>
              <w:br/>
              <w:t>build_features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日期、樓層、面積、地址與缺失旗標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訓練編碼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round47_nn_encode.py</w:t>
              <w:br/>
              <w:t>fit_encoder / encode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fit建詞表與數值轉換；query僅套用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網路訓練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round107_weighted_smooth_train.py</w:t>
              <w:br/>
              <w:t>weighted_loss / run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固定30輪；日期加權SmoothL1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預測組合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round107_final_candidate.py</w:t>
              <w:br/>
              <w:t>apply_prior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重算網路路線R/S；與保存兩路取中位數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發行檢查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獨立CSV讀取與發行收據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核對欄位、編號、列序、整數金額及SHA256</w:t>
            </w:r>
          </w:p>
        </w:tc>
      </w:tr>
    </w:tbl>
    <w:p>
      <w:pPr>
        <w:spacing w:after="0"/>
      </w:pPr>
    </w:p>
    <w:p>
      <w:pPr>
        <w:pStyle w:val="Heading2"/>
      </w:pPr>
      <w:r>
        <w:t>神經網路路線與最終融合的核心運算</w:t>
      </w:r>
    </w:p>
    <w:p>
      <w:pPr>
        <w:keepNext w:val="0"/>
      </w:pPr>
      <w:r>
        <w:t>以下摘錄核心運算並拆行；成交參考及空間修正在base與median之間完成。native是新的參考單價網路總價；fixed包含保存的面積網路、LightGBM及另外兩路總價。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>base = .75 * (.5 * fixed['area'] + .5 * native)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>base = base + .25 * fixed['lgb']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># 依固定狀態將 base 經成交參考與空間修正得到 spatial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>median = np.median(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 xml:space="preserve">    np.column_stack([spatial, fixed['log'], fixed['unit']]),</w:t>
      </w:r>
    </w:p>
    <w:p>
      <w:pPr>
        <w:keepNext/>
        <w:spacing w:line="290" w:lineRule="exact" w:after="0"/>
      </w:pPr>
      <w:r>
        <w:rPr>
          <w:rFonts w:ascii="Consolas" w:hAnsi="Consolas"/>
          <w:sz w:val="18"/>
        </w:rPr>
        <w:t xml:space="preserve">    axis=1)</w:t>
      </w:r>
    </w:p>
    <w:p/>
    <w:p>
      <w:pPr>
        <w:keepNext w:val="0"/>
      </w:pPr>
      <w:r>
        <w:t>最終對median只取整一次，才按指定編號輸出。錯列、重複編號或順序改變都可能把正確價格配到錯誤交易，因此檔案檢查與模型估價同樣需要獨立核對。</w:t>
      </w:r>
    </w:p>
    <w:p>
      <w:r>
        <w:br w:type="page"/>
      </w:r>
    </w:p>
    <w:p>
      <w:pPr>
        <w:pStyle w:val="Heading1"/>
      </w:pPr>
      <w:r>
        <w:t>4 資料清理與重複紀錄</w:t>
      </w:r>
    </w:p>
    <w:p>
      <w:r>
        <w:rPr>
          <w:b w:val="0"/>
        </w:rPr>
        <w:t>價格標籤來自課程的train與valid；test完整保留指定編號與順序。原始檔案另行保存，清理在處理流程中進行。[1]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7"/>
        <w:gridCol w:w="2608"/>
      </w:tblGrid>
      <w:tr>
        <w:trPr>
          <w:cantSplit/>
          <w:tblHeader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處理步驟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筆數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原始train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455,787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移除混入的英文表頭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移除表頭後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455,784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移除完全重複紀錄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−529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清理後train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455,255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最終訓練加入課程valid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＋11,994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最終合併再移除完全重複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−28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最終有標籤訓練資料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467,221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test完整保留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47,073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移除混入表頭</w:t>
      </w:r>
    </w:p>
    <w:p>
      <w:r>
        <w:rPr>
          <w:b w:val="0"/>
        </w:rPr>
        <w:t>關鍵字是「混入表頭」與「標籤格式檢查」。程式先將總價轉成數值，找出無法轉換或非有限數值的列；只有編號恰為serial number、總價文字恰為total price NTD的列，才允許移除。實際有3列符合。遇到其他未知標籤問題就報錯停止，不會看到英文便刪除。</w:t>
      </w:r>
    </w:p>
    <w:p>
      <w:pPr>
        <w:pStyle w:val="Heading2"/>
      </w:pPr>
      <w:r>
        <w:t>完全重複紀錄去重</w:t>
      </w:r>
    </w:p>
    <w:p>
      <w:r>
        <w:rPr>
          <w:b w:val="0"/>
        </w:rPr>
        <w:t>關鍵字是「完全重複」「排除識別碼」「保留首次出現」。比較編號以外的全部原始欄位，包含成交總價，全部相同才保留第一筆、移除後續紀錄。這樣可避免相同內容被反覆學習、影響過大。</w:t>
      </w:r>
    </w:p>
    <w:p>
      <w:r>
        <w:rPr>
          <w:b w:val="0"/>
        </w:rPr>
        <w:t>只有建案或面積相同不足以判為重複。日期、總價或任何其他原欄位不同，就不符合完全重複規則。此規則移除train的529列；最終合併valid時另移除28列。這是欄位去重，沒有外部證據確認每組紀錄均為同一真實交易。</w:t>
      </w:r>
    </w:p>
    <w:p>
      <w:r>
        <w:br w:type="page"/>
      </w:r>
    </w:p>
    <w:p>
      <w:pPr>
        <w:pStyle w:val="Heading1"/>
      </w:pPr>
      <w:r>
        <w:t>5 資料分布與城市房價</w:t>
      </w:r>
    </w:p>
    <w:p>
      <w:pPr>
        <w:keepNext w:val="0"/>
      </w:pPr>
      <w:r>
        <w:t>清理後train共455,255筆，交易日期介於2008-06-26與2024-08-10。以下只描述這份課程樣本，不包含valid或test價格。全體總價平均1,502.54萬元，中位數1,212萬元，中間50%介於870至1,733萬元。[7]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237003"/>
            <wp:docPr id="3" name="Picture 3" descr="課程清理後train，筆數最多七城市的總價中位數，單位萬元；下表另列各城市樣本數、均值及第25至75百分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pric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7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圖2 城市樣本的總價中位數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531"/>
        <w:gridCol w:w="1814"/>
        <w:gridCol w:w="1814"/>
        <w:gridCol w:w="3061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交易筆數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平均萬元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中位萬元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中間50%萬元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102,060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1,684.54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1,067.00–2,035.00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桃園市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83,774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1,292.73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1,161.00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868.00–1,525.00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臺中市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83,686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1,546.04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890.00–1,873.00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高雄市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40,980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1,191.11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1,050.00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760.00–1,405.00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32,925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1,176.65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1,078.00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835.00–1,399.00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新竹縣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20,356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1,537.19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1,244.00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850.00–1,826.00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20,023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3,869.66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2,945.00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2,020.00–4,518.00</w:t>
            </w:r>
          </w:p>
        </w:tc>
      </w:tr>
    </w:tbl>
    <w:p>
      <w:pPr>
        <w:spacing w:after="0"/>
      </w:pPr>
    </w:p>
    <w:p>
      <w:pPr>
        <w:keepNext w:val="0"/>
      </w:pPr>
      <w:r>
        <w:t>臺北市樣本的總價中位數為2,945萬元，明顯高於表內其他城市；各城市平均皆高於中位數，顯示少數高總價交易會拉高平均。總價同時受面積、房型、車位與年份影響，這不是城市單價排名或官方房價指數。</w:t>
      </w:r>
    </w:p>
    <w:p>
      <w:pPr>
        <w:keepNext w:val="0"/>
      </w:pPr>
      <w:r>
        <w:t>圖表按交易筆數選出七個城市；完整統計保留23個城市標籤類別，其中城市缺失5筆。桃園縣等歷史標籤保持原分類，未合併到桃園市；不同城市的日期組成也未重新配平。</w:t>
      </w:r>
    </w:p>
    <w:p>
      <w:r>
        <w:br w:type="page"/>
      </w:r>
    </w:p>
    <w:p>
      <w:pPr>
        <w:pStyle w:val="Heading1"/>
      </w:pPr>
      <w:r>
        <w:t>6 文字與異常值的處理方式</w:t>
      </w:r>
    </w:p>
    <w:p>
      <w:r>
        <w:rPr>
          <w:b w:val="0"/>
        </w:rPr>
        <w:t>模型需要一致的輸入形式，因此先解析文字，再保留原資料的缺失與異常狀態。以下為規則示例，不是新增交易。[1]</w:t>
      </w:r>
    </w:p>
    <w:p>
      <w:pPr>
        <w:pStyle w:val="Heading2"/>
      </w:pPr>
      <w:r>
        <w:t>空白與數字</w:t>
      </w:r>
    </w:p>
    <w:p>
      <w:r>
        <w:rPr>
          <w:b w:val="0"/>
        </w:rPr>
        <w:t>去除前後空白及全形空白；空字串、nan、NaN、None、null、&lt;NA&gt;統一視為缺失。數字先去除千分位逗號，再嘗試轉換，例如「1,200.5」變成1200.5。轉換失敗或正負無限大設為缺失；類別空值以專用缺失標記表示。</w:t>
      </w:r>
    </w:p>
    <w:p>
      <w:pPr>
        <w:pStyle w:val="Heading2"/>
      </w:pPr>
      <w:r>
        <w:t>交易日期</w:t>
      </w:r>
    </w:p>
    <w:p>
      <w:r>
        <w:rPr>
          <w:b w:val="0"/>
        </w:rPr>
        <w:t>解析民國與西元日期。民國年加1911，例如「112年8月11日」轉成2023-08-11，再取年、月、季、日及相對2000年的時間索引；月份另用sin與cos表達週期。無效日期設為缺失。年份超出1990至2030時，設為缺失並標記異常，不硬改成邊界年份。</w:t>
      </w:r>
    </w:p>
    <w:p>
      <w:pPr>
        <w:pStyle w:val="Heading2"/>
      </w:pPr>
      <w:r>
        <w:t>樓層與交易筆棟數</w:t>
      </w:r>
    </w:p>
    <w:p>
      <w:r>
        <w:rPr>
          <w:b w:val="0"/>
        </w:rPr>
        <w:t>中文數字轉成數值，例如「十二層」為12、「地下二層」為−2。移轉層次拆成最低、最高、平均樓層、層數與跨度，另標記地下、整棟及屋頂。「三至五層」的層數為3；跨地下與地上時不計第0樓。「土地1建物1車位2」則拆成土地1、建物1、車位2。</w:t>
      </w:r>
    </w:p>
    <w:p>
      <w:pPr>
        <w:pStyle w:val="Heading2"/>
      </w:pPr>
      <w:r>
        <w:t>地址與有限備註</w:t>
      </w:r>
    </w:p>
    <w:p>
      <w:r>
        <w:rPr>
          <w:b w:val="0"/>
        </w:rPr>
        <w:t>地址中的「台」統一成「臺」，拆出縣市、行政區、道路、路段及里村段資訊；棟及號另取棟別與樓層。原地址仍可作類別資訊，道路地理資訊不等於精確門牌定位。備註只用固定詞組建立親友交易、裝潢、毛胚、增建、預售、持分、特殊出售及無建物等旗標，不輸入完整價格文字。</w:t>
      </w:r>
    </w:p>
    <w:p>
      <w:pPr>
        <w:pStyle w:val="Heading2"/>
      </w:pPr>
      <w:r>
        <w:t>異常數值保留標記</w:t>
      </w:r>
    </w:p>
    <w:p>
      <w:r>
        <w:rPr>
          <w:b w:val="0"/>
        </w:rPr>
        <w:t>保留可解析的面積與格局值，另標記負值、面積為0和極端值。例如土地面積大於10,000或建物面積大於2,000平方公尺；房或衛大於20、廳大於10。極端數值本身不是直接刪除交易的理由，合法高價房也不因價格高就被排除。</w:t>
      </w:r>
    </w:p>
    <w:p>
      <w:r>
        <w:br w:type="page"/>
      </w:r>
    </w:p>
    <w:p>
      <w:pPr>
        <w:pStyle w:val="Heading1"/>
      </w:pPr>
      <w:r>
        <w:t>7 特徵與資料隔離</w:t>
      </w:r>
    </w:p>
    <w:p>
      <w:r>
        <w:rPr>
          <w:b w:val="0"/>
        </w:rPr>
        <w:t>特徵就是模型估價時可使用的線索。面積相同的房屋，也可能因地點、樓層或交易時間不同而有不同總價，因此需要共同考慮多項條件。[1][2]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特徵類別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提供的線索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地點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縣市、行政區、地址、道路與建案資訊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房屋條件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土地與建物面積、車位、樓層、格局、型態與用途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交易時間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年、月、季、日期索引與月份週期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資料狀態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缺失、日期異常、面積與格局異常旗標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道路地理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道路位置、範圍及匹配狀態等非價格資訊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不放進模型的欄位</w:t>
      </w:r>
    </w:p>
    <w:p>
      <w:r>
        <w:rPr>
          <w:b w:val="0"/>
        </w:rPr>
        <w:t>編號只用來對齊提交，總價是要學習的答案，兩者都不作輸入。建築完成年月不可用，因此沒有據此建立可靠屋齡；管理組織為常數，無法區分房屋。解約情形可能是交易後資訊，也不納入。</w:t>
      </w:r>
    </w:p>
    <w:p>
      <w:pPr>
        <w:pStyle w:val="Heading2"/>
      </w:pPr>
      <w:r>
        <w:t>模型輸入如何建立</w:t>
      </w:r>
    </w:p>
    <w:p>
      <w:r>
        <w:rPr>
          <w:b w:val="0"/>
        </w:rPr>
        <w:t>基礎特徵共87欄，加上8欄道路地理資訊為95欄，其中23欄為類別。參考單價神經網路將72個數值欄位依訓練中位數填補，再用訓練尺度與asinh轉換處理，並附72個非有限值旗標，共144個數值輸入。asinh在數值很大時壓縮尺度，也能處理負值。</w:t>
      </w:r>
    </w:p>
    <w:p>
      <w:r>
        <w:rPr>
          <w:b w:val="0"/>
        </w:rPr>
        <w:t>類別先建立訓練詞表，再轉成模型可學習的向量，也就是embedding。訓練中少於5次或預測時未見過的類別使用0編碼。另一個面積神經網路再加入依訓練分位節點建立的分段數值表示，數值輸入為603維。</w:t>
      </w:r>
    </w:p>
    <w:p>
      <w:pPr>
        <w:pStyle w:val="Heading2"/>
      </w:pPr>
      <w:r>
        <w:t>規則只由訓練資料建立</w:t>
      </w:r>
    </w:p>
    <w:p>
      <w:r>
        <w:rPr>
          <w:b w:val="0"/>
        </w:rPr>
        <w:t>每次驗證的訓練部分稱為fit，待評分部分稱為query。中位數、尺度、類別詞表、分位節點及價格參考都只在fit建立，再套到query。這可避免待評分資料提前影響模型規則。固定的日期與樓層解析規則則一致套用各資料集。</w:t>
      </w:r>
    </w:p>
    <w:p>
      <w:r>
        <w:br w:type="page"/>
      </w:r>
    </w:p>
    <w:p>
      <w:pPr>
        <w:pStyle w:val="Heading1"/>
      </w:pPr>
      <w:r>
        <w:t>8 六個模型的估價方式</w:t>
      </w:r>
    </w:p>
    <w:p>
      <w:r>
        <w:rPr>
          <w:b w:val="0"/>
        </w:rPr>
        <w:t>六個模型使用不同價格表示，讓各自擅長的關係有機會互補。CatBoost與LightGBM都以多棵樹逐步修正誤差；神經網路則以多層數值運算學習特徵組合。模型多並不保證更準，效果仍需驗證。[2]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706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符號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模型與學習目標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還原總價方式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LightGBM單價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C_raw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直接輸出總價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C_log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CatBoost對數總價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反轉log1p價格轉換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N_area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面積神經網路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正值單價乘有效面積與單位換算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N_prior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參考單價乘有效面積，再乘預測倍率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單價與總價為何分開學</w:t>
      </w:r>
    </w:p>
    <w:p>
      <w:r>
        <w:rPr>
          <w:b w:val="0"/>
        </w:rPr>
        <w:t>單價模型可比較不同面積的房屋，但最後必須乘回面積，才能用總價MAE評估。例如單價每平方公尺20萬元、面積40平方公尺，總價為800萬元。C_unit訓練採面積與日期權重，讓單價誤差較能對齊近期總價誤差。</w:t>
      </w:r>
    </w:p>
    <w:p>
      <w:r>
        <w:rPr>
          <w:b w:val="0"/>
        </w:rPr>
        <w:t>直接總價模型保留金額尺度；對數總價模型學log1p（總價÷1,000,000），讓大金額在學習表示中受到壓縮，再轉回總價。對數模型的訓練損失位於對數空間，不能稱為直接總價MAE。</w:t>
      </w:r>
    </w:p>
    <w:p>
      <w:pPr>
        <w:pStyle w:val="Heading2"/>
      </w:pPr>
      <w:r>
        <w:t>有效面積的回退</w:t>
      </w:r>
    </w:p>
    <w:p>
      <w:r>
        <w:rPr>
          <w:b w:val="0"/>
        </w:rPr>
        <w:t>有效面積優先採正且有限的建物面積，否則採有效車位面積，再無法使用才取1，讓乘除計算能繼續。這個1不是估計室內面積，也不會改寫原面積特徵。面積神經網路的單價輸出以萬元／平方公尺表示，還原時還需乘10,000。</w:t>
      </w:r>
    </w:p>
    <w:p>
      <w:r>
        <w:br w:type="page"/>
      </w:r>
    </w:p>
    <w:p>
      <w:pPr>
        <w:pStyle w:val="Heading1"/>
      </w:pPr>
      <w:r>
        <w:t>9 參考單價與建案分組</w:t>
      </w:r>
    </w:p>
    <w:p>
      <w:r>
        <w:rPr>
          <w:b w:val="0"/>
        </w:rPr>
        <w:t>參考單價先提供區域與房屋類型的大致價格起點，再由神經網路學習個別交易的調整倍率。價格參考只使用當次fit提供的標籤。[2]</w:t>
      </w:r>
    </w:p>
    <w:p>
      <w:pPr>
        <w:spacing w:before="80" w:after="200"/>
        <w:jc w:val="center"/>
      </w:pPr>
      <w:r>
        <w:rPr>
          <w:b/>
        </w:rPr>
        <w:t>預測總價 ＝ 參考單價 × 有效面積 × 預測倍率</w:t>
      </w:r>
    </w:p>
    <w:p>
      <w:r>
        <w:rPr>
          <w:b w:val="0"/>
        </w:rPr>
        <w:t>假設參考單價為每平方公尺20萬元、有效面積40平方公尺，價格起點為800萬元；模型若預測倍率1.2，便得到960萬元。這只是公式示例，倍率由模型學習，不由未知真價倒算。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06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查詢次序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參考分組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全域可用參考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無30筆門檻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細分組資料不足就退回較粗分組，避免少量交易決定參考價格。每層採365天半衰期的日期加權中位單價：將單價由低至高排序，取累積權重首次達到總權重一半的位置；恰好到一半時，取相鄰單價平均。近期交易的權重較大，較容易影響中位位置，沒有把價格乘上權重。缺日期採中性權重1，前四層筆數門檻仍按原始支持量計算。</w:t>
      </w:r>
    </w:p>
    <w:p>
      <w:pPr>
        <w:pStyle w:val="Heading2"/>
      </w:pPr>
      <w:r>
        <w:t>避免自己的答案回到自己的參考</w:t>
      </w:r>
    </w:p>
    <w:p>
      <w:r>
        <w:rPr>
          <w:b w:val="0"/>
        </w:rPr>
        <w:t>依城市、行政區與建案組成分組鍵，再分成五折；缺建案時以地址、道路或單筆鍵回退。一折房屋的參考單價只由另外四折建立，稱為分組五折OOF。待預測房屋則使用完整fit的參考；建案用於分組，不是上表查詢條件。</w:t>
      </w:r>
    </w:p>
    <w:p>
      <w:r>
        <w:rPr>
          <w:b w:val="0"/>
        </w:rPr>
        <w:t>這種分組不等同逐筆時間隔離：同一fit內，參考交易可能比某筆訓練交易晚。歷史驗證另外用外層時間切點，限制整套fit不得包含驗證期間的交易；兩種隔離處理的是不同問題。</w:t>
      </w:r>
    </w:p>
    <w:p>
      <w:r>
        <w:br w:type="page"/>
      </w:r>
    </w:p>
    <w:p>
      <w:pPr>
        <w:pStyle w:val="Heading1"/>
      </w:pPr>
      <w:r>
        <w:t>10 三路融合與成交參考修正</w:t>
      </w:r>
    </w:p>
    <w:p>
      <w:r>
        <w:rPr>
          <w:b w:val="0"/>
        </w:rPr>
        <w:t>所有輸出先統一成新臺幣總價，再依固定比例形成三路答案。75%與25%是既定配方，並非每份資料上的最佳比例。[2]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原始組合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 C_unit 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神經網路路線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×（N_area與N_prior各半）＋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×（C_raw與C_log各半）＋ 25% × L_unit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可比成交與空間修正</w:t>
      </w:r>
    </w:p>
    <w:p>
      <w:r>
        <w:rPr>
          <w:b w:val="0"/>
        </w:rPr>
        <w:t>每一路先利用fit中同建案、地址、道路等可比交易，以及fit估計的時間趨勢，修正原始估價，記為R。接著再利用固定空間參考狀態，補充直接參考較弱的情況，記為S；支持不足時回退。</w:t>
      </w:r>
    </w:p>
    <w:p>
      <w:pPr>
        <w:spacing w:before="80" w:after="200"/>
        <w:jc w:val="center"/>
      </w:pPr>
      <w:r>
        <w:rPr>
          <w:b/>
        </w:rPr>
        <w:t>一路修正結果 ＝ S（原始組合B，R（B））</w:t>
      </w:r>
    </w:p>
    <w:p>
      <w:r>
        <w:rPr>
          <w:b w:val="0"/>
        </w:rPr>
        <w:t>S同時接收原始估價與成交參考修正後的估價，所以不能把流程說成兩次相同校正直接相加。新的時間切點需要建立自己的成交參考與空間狀態。</w:t>
      </w:r>
    </w:p>
    <w:p>
      <w:pPr>
        <w:pStyle w:val="Heading2"/>
      </w:pPr>
      <w:r>
        <w:t>逐筆取三路中位數</w:t>
      </w:r>
    </w:p>
    <w:p>
      <w:r>
        <w:rPr>
          <w:b w:val="0"/>
        </w:rPr>
        <w:t>將三路修正後的價格由低至高排序，取中間那個。假設某間房屋得到1,000、1,100、1,600萬元，最終為1,100萬元。中位數可降低單一路線極端值的影響，並沒有找出真正成交價。</w:t>
      </w:r>
    </w:p>
    <w:p>
      <w:r>
        <w:rPr>
          <w:b w:val="0"/>
        </w:rPr>
        <w:t>三路共同使用LightGBM與相關資料，並非完全獨立。如果三路一起高估，中位數仍會高估；它也可能擋掉某一路正確的改善。因此融合仍需要相同交易上的公平驗證。</w:t>
      </w:r>
    </w:p>
    <w:p>
      <w:r>
        <w:br w:type="page"/>
      </w:r>
    </w:p>
    <w:p>
      <w:pPr>
        <w:pStyle w:val="Heading1"/>
      </w:pPr>
      <w:r>
        <w:t>11 訓練損失與固定設定</w:t>
      </w:r>
    </w:p>
    <w:p>
      <w:r>
        <w:rPr>
          <w:b w:val="0"/>
        </w:rPr>
        <w:t>參考單價神經網路採日期加權SmoothL1。比較基準採日期加權總價MAE，其餘輸入、架構、先驗及融合設定固定。SmoothL1的設計是讓接近正確價格時的更新較平滑，較大誤差仍保留線性尾部。[2]</w:t>
      </w:r>
    </w:p>
    <w:p>
      <w:r>
        <w:rPr>
          <w:b w:val="0"/>
        </w:rPr>
        <w:t>誤差e以百萬元表示，轉折值β＝0.1，即10萬元。誤差絕對值小於β時，單筆損失為e²÷（2β）；大於或等於β時，為|e|−β÷2。它改變學習時的懲罰方式，沒有刪除高價房，也沒有改變正式MAE評分。</w:t>
      </w:r>
    </w:p>
    <w:p>
      <w:pPr>
        <w:spacing w:before="80" w:after="200"/>
        <w:jc w:val="center"/>
      </w:pPr>
      <w:r>
        <w:rPr>
          <w:b/>
        </w:rPr>
        <w:t>批次訓練損失 ＝ 各筆「日期權重 × SmoothL1損失」的平均</w:t>
      </w:r>
    </w:p>
    <w:p>
      <w:r>
        <w:rPr>
          <w:b w:val="0"/>
        </w:rPr>
        <w:t>日期權重讓較近期交易對訓練影響較大。相差一年的有效日期，原始權重比例為1比2，再除以fit中有效日期的原始權重平均值；缺失或異常日期維持1。每個批次不再除以批次權重和。參考單價也使用日期權重，但用途是選擇參考中位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設定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隱藏層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512、256、128；LayerNorm與ReLU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正規化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輸出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Softplus正值倍率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訓練輪數與批次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30輪；每批2,048筆；seed 42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最佳化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AdamW；學習率0.001；weight decay 0.0001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學習率排程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CosineAnnealingLR；T_max 30；最低0.00001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模型選擇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固定最後第30輪，未依驗證最低點挑選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學習率控制參數每次更新的幅度；dropout在訓練時隨機停用部分單元，降低對特定路徑的依賴。推論時關閉dropout，沿用訓練好的參數與轉換規則。面積神經網路仍使用總價絕對誤差，沒有額外日期樣本權重，不能將六模型都稱為同一損失。</w:t>
      </w:r>
    </w:p>
    <w:p>
      <w:r>
        <w:br w:type="page"/>
      </w:r>
    </w:p>
    <w:p>
      <w:pPr>
        <w:pStyle w:val="Heading1"/>
      </w:pPr>
      <w:r>
        <w:t>12 時間驗證與離線結果</w:t>
      </w:r>
    </w:p>
    <w:p>
      <w:r>
        <w:rPr>
          <w:b w:val="0"/>
        </w:rPr>
        <w:t>估價要面對未來交易，因此年度回測只用train中早於驗證首日的交易建立模型，再評估接下來一年；課程valid留到最終訓練才合併。每個切點都建立自己的模型、轉換規則、參考單價、成交參考及空間狀態，避免帶入後期資訊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28"/>
        <w:gridCol w:w="1928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fit筆數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驗證筆數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2021/08/11 至 2022/08/10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134,805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105,511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2022/08/11 至 2023/08/10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240,316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81,234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2023/08/11 至 2024/08/10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321,550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133,697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2023/02/11 至 2024/02/10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272,117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107,169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基準與此方法在相同房屋上比較，以下單位皆為新臺幣元。差值是此方法減基準，負值代表誤差降低；最終全量模型不直接用來回測自己已學過的歷史。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基準MAE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此方法MAE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差值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2021/08 至 2022/08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2,309,352.36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2,310,236.02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＋883.66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2022/08 至 2023/08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1,407,387.07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1,405,971.19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−1,415.88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2023/08 至 2024/08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1,383,228.41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−1,525.54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額外2月起點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1,336,410.67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1,336,107.62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−303.06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整體改善仍可能有群體退步</w:t>
      </w:r>
    </w:p>
    <w:p>
      <w:r>
        <w:rPr>
          <w:b w:val="0"/>
        </w:rPr>
        <w:t>三個主要期間有兩期改善、一期退步，最近一期改善約0.1103%。最近年度既有建案MAE增加213.10元，新建案減少2,841.61元。依test已知的既有建案36.62%與新建案63.38%加權，差值為−1,723.04元；這是組成診斷，不是test真價誤差，也不是官方評分。</w:t>
      </w:r>
    </w:p>
    <w:p>
      <w:r>
        <w:rPr>
          <w:b w:val="0"/>
        </w:rPr>
        <w:t>各窗口已反覆參與方法比較，且部分時間重疊，不能視為四次獨立盲測。相同交易上的比較提高公平性，仍無法消除反覆選型對結果的影響。</w:t>
      </w:r>
    </w:p>
    <w:p>
      <w:r>
        <w:br w:type="page"/>
      </w:r>
    </w:p>
    <w:p>
      <w:pPr>
        <w:pStyle w:val="Heading1"/>
      </w:pPr>
      <w:r>
        <w:t>13 完整融合的驗證結果圖</w:t>
      </w:r>
    </w:p>
    <w:p>
      <w:pPr>
        <w:keepNext w:val="0"/>
      </w:pPr>
      <w:r>
        <w:t>本節分析2023-08-11至2024-08-10的133,697筆時間驗證交易。模型及所有狀態來自較早的321,550筆fit；使用保存的完整三路融合未取整總價，並非下節單一神經網路的逐輪預測。[8]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574175"/>
            <wp:docPr id="4" name="Picture 4" descr="完整融合最近年度時間驗證的真價與預測密度圖；全133697筆按對數萬元座標彙整至64乘64格，橘線表示真價等於預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7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圖3 完整融合的真價與預測總價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3742"/>
      </w:tblGrid>
      <w:tr>
        <w:trPr>
          <w:cantSplit/>
          <w:tblHeader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完整驗證指標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金額或比例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總價MAE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絕對誤差中位數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769,778.47元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第90百分位絕對誤差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3,172,581.28元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第99百分位絕對誤差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8,929,452.75元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平均有號誤差（預測減真價）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-354,468.49元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低估交易比例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52.20%</w:t>
            </w:r>
          </w:p>
        </w:tc>
      </w:tr>
    </w:tbl>
    <w:p>
      <w:pPr>
        <w:spacing w:after="0"/>
      </w:pPr>
    </w:p>
    <w:p>
      <w:pPr>
        <w:keepNext w:val="0"/>
      </w:pPr>
      <w:r>
        <w:t>橘色對角線表示預測等於真價，圖點越接近此線，價格越接近。全133,697筆交易依真價與預測的對數萬元座標，彙整到64×64格，色彩深淺表示密度，並未抽取少量交易。每相同刻度的金額倍數相同；極端交易仍需搭配金額誤差及案例解讀。</w:t>
      </w:r>
    </w:p>
    <w:p>
      <w:pPr>
        <w:keepNext w:val="0"/>
      </w:pPr>
      <w:r>
        <w:t>MAE約138.17萬元，大於絕對誤差中位數約76.98萬元，說明較大的誤差拉高平均；平均有號誤差為負，表示全體淨低估約35.45萬元。低估比例約52.20%，不能把淨低估解讀為每筆都低估。</w:t>
      </w:r>
    </w:p>
    <w:p>
      <w:r>
        <w:br w:type="page"/>
      </w:r>
    </w:p>
    <w:p>
      <w:pPr>
        <w:pStyle w:val="Heading1"/>
      </w:pPr>
      <w:r>
        <w:t>14 價格帶與尾端誤差</w:t>
      </w:r>
    </w:p>
    <w:p>
      <w:pPr>
        <w:keepNext w:val="0"/>
      </w:pPr>
      <w:r>
        <w:t>為定位整體平均遮住的問題，再依驗證真價分組檢查。價格帶只用於預測完成後的分析，不能用未知test真價決定模型分支或人工調價。[8]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9440"/>
            <wp:docPr id="5" name="Picture 5" descr="最近年度完整融合，依驗證真價價格帶比較總價MAE，單位萬元；樣本量及資料範圍見正文與來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y_price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圖4 完整融合在各真價價格帶的誤差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757"/>
        <w:gridCol w:w="4082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分析項目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筆數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MAE或絕對誤差占比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既有建案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57,601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82.07萬元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76,096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180.63萬元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占絕對誤差總額10.65%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6,685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占絕對誤差總額28.01%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13,370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占絕對誤差總額41.64%</w:t>
            </w:r>
          </w:p>
        </w:tc>
      </w:tr>
    </w:tbl>
    <w:p>
      <w:pPr>
        <w:spacing w:after="0"/>
      </w:pPr>
    </w:p>
    <w:p>
      <w:pPr>
        <w:keepNext w:val="0"/>
      </w:pPr>
      <w:r>
        <w:t>首價格帶為未滿500萬元，其餘採左含右不含：例如500至1,000萬元代表500萬元≤真價&lt;1,000萬元。真價5,000萬元以上的2,044筆，MAE約824.08萬元；500至1,000萬元的24,411筆約65.17萬元。各帶沒有控制面積或房型，不能單憑此圖斷言價格本身造成誤差。</w:t>
      </w:r>
    </w:p>
    <w:p>
      <w:pPr>
        <w:keepNext w:val="0"/>
      </w:pPr>
      <w:r>
        <w:t>新建案指當期fit未出現相同「城市、行政區、建案名稱」組合，並不等於屋齡較新。新建案MAE約180.63萬元，比既有建案高，與缺少直接同案參考的可能困難一致；仍可能同時受到城市、用途及面積組成影響。</w:t>
      </w:r>
    </w:p>
    <w:p>
      <w:pPr>
        <w:keepNext w:val="0"/>
      </w:pPr>
      <w:r>
        <w:t>尾端少量交易貢獻較多絕對誤差，但合法高價交易仍是任務的一部分。後續改進必須同時檢查整體與分群，不能只刪除困難交易來降低表面MAE。</w:t>
      </w:r>
    </w:p>
    <w:p>
      <w:r>
        <w:br w:type="page"/>
      </w:r>
    </w:p>
    <w:p>
      <w:pPr>
        <w:pStyle w:val="Heading1"/>
      </w:pPr>
      <w:r>
        <w:t>15 實際訓練與驗證曲線</w:t>
      </w:r>
    </w:p>
    <w:p>
      <w:r>
        <w:rPr>
          <w:b w:val="0"/>
        </w:rPr>
        <w:t>為觀察學習過程，另以固定參考單價神經網路配方進行30輪診斷訓練。這張圖呈現一個神經網路的學習狀況；六模型融合結果需看完整融合的整體驗證。[4]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 descr="固定30輪單一參考單價神經網路的未加權總價MAE。藍線訓練誤差下降，橘線時間驗證誤差後期趨平且波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圖5 單一參考單價神經網路的診斷曲線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2835"/>
        <w:gridCol w:w="2835"/>
      </w:tblGrid>
      <w:tr>
        <w:trPr>
          <w:cantSplit/>
          <w:tblHeader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評估資料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第1輪MAE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固定第30輪MAE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2,235,313.48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715,006.13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時間驗證資料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1,981,140.43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1,777,133.98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藍線是321,550筆訓練交易，橘線是之後133,697筆時間驗證交易。兩線都在關閉dropout後，計算未加權總價MAE，單位為元；並非SmoothL1訓練損失。橘線後段改善有限且波動，訓練誤差整體下降不等於對未來的估價持續改善。</w:t>
      </w:r>
    </w:p>
    <w:p>
      <w:r>
        <w:rPr>
          <w:b w:val="0"/>
        </w:rPr>
        <w:t>30輪快照先封存，再讀驗證答案評分，沒有依橘線最低點挑輪數，也沒有改提交答案。此圖不是原提交當時的訓練紀錄；時間組成及訓練OOF／驗證完整fit參考差異也會影響兩線距離。落差不能全歸因於過擬合，也不能據此證明完全沒有過擬合。epoch是學習輪數，不能稱為模型容量或VC維度。</w:t>
      </w:r>
    </w:p>
    <w:p>
      <w:r>
        <w:br w:type="page"/>
      </w:r>
    </w:p>
    <w:p>
      <w:pPr>
        <w:pStyle w:val="Heading1"/>
      </w:pPr>
      <w:r>
        <w:t>16 大誤差交易案例</w:t>
      </w:r>
    </w:p>
    <w:p>
      <w:pPr>
        <w:keepNext w:val="0"/>
      </w:pPr>
      <w:r>
        <w:t>從最近年度133,697筆保存驗證預測，依絕對總價誤差由大到小排序，取第1、3、4名作不同情境的案例A、B、C。略過與A條件相近的第2名；這是刻意選出的困難案例，不代表一般交易。[8]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地點與類型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真價萬元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預測萬元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誤差萬元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新北市新莊區</w:t>
              <w:br/>
              <w:t>廠辦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299,000.00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280,336.82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18,663.18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臺北市北投區</w:t>
              <w:br/>
              <w:t>辦公商業大樓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14,858.00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24,332.19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高估</w:t>
              <w:br/>
              <w:t>9,474.19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新北市林口區</w:t>
              <w:br/>
              <w:t>店面(店鋪)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25,600.00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16,270.29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9,329.71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2268"/>
        <w:gridCol w:w="1417"/>
        <w:gridCol w:w="2891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交易日期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建物面積m²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車位數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同建案fit筆數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2024-05-28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19,410.47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2024-07-05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794.71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2024-04-28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831.31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</w:tr>
    </w:tbl>
    <w:p>
      <w:pPr>
        <w:spacing w:after="0"/>
      </w:pPr>
    </w:p>
    <w:p>
      <w:pPr>
        <w:keepNext w:val="0"/>
      </w:pPr>
      <w:r>
        <w:t>三筆皆為房地加車位交易；「同建案fit筆數」只統計該切點以前相同城市、行政區與建案名稱的交易。A和B當時沒有直接同案樣本；C已有130筆，仍發生明顯低估。</w:t>
      </w:r>
    </w:p>
    <w:p>
      <w:pPr>
        <w:pStyle w:val="Heading2"/>
      </w:pPr>
      <w:r>
        <w:t>案例A 大面積廠辦低估</w:t>
      </w:r>
    </w:p>
    <w:p>
      <w:pPr>
        <w:keepNext w:val="0"/>
      </w:pPr>
      <w:r>
        <w:t>新莊廠辦建物面積19,410.47平方公尺，含130個車位，真價29.90億元，預測約28.03億元，低估約1.87億元，約為真價的6.24%。同案支持為0，且面積遠高於fit第99百分位345.10平方公尺，符合大規模稀有交易可能較難估價的假設，仍未證明誤差原因。</w:t>
      </w:r>
    </w:p>
    <w:p>
      <w:pPr>
        <w:pStyle w:val="Heading2"/>
      </w:pPr>
      <w:r>
        <w:t>案例B 新建案商辦高估</w:t>
      </w:r>
    </w:p>
    <w:p>
      <w:pPr>
        <w:keepNext w:val="0"/>
      </w:pPr>
      <w:r>
        <w:t>北投商辦面積794.71平方公尺、5個車位，真價約1.49億元，預測約2.43億元，高估約9,474.19萬元。當期無同案樣本，面積亦高於fit第99百分位。區域或用途參考未必足以描述該筆交易，不能將高估直接歸因於單一模型。</w:t>
      </w:r>
    </w:p>
    <w:p>
      <w:pPr>
        <w:pStyle w:val="Heading2"/>
      </w:pPr>
      <w:r>
        <w:t>案例C 同案資料存在仍低估</w:t>
      </w:r>
    </w:p>
    <w:p>
      <w:pPr>
        <w:keepNext w:val="0"/>
      </w:pPr>
      <w:r>
        <w:t>林口店面面積831.31平方公尺、3個車位，真價2.56億元，預測約1.63億元，低估約9,329.71萬元。同案130筆全為住宅大樓，無同型店面；同案真價中位數約2,121.50萬元。用途與規模缺乏可比支持，顯示「有同案」不等於「有足夠可比交易」。</w:t>
      </w:r>
    </w:p>
    <w:p>
      <w:r>
        <w:br w:type="page"/>
      </w:r>
    </w:p>
    <w:p>
      <w:pPr>
        <w:pStyle w:val="Heading1"/>
      </w:pPr>
      <w:r>
        <w:t>17 誤差原因與對應改進</w:t>
      </w:r>
    </w:p>
    <w:p>
      <w:pPr>
        <w:keepNext w:val="0"/>
      </w:pPr>
      <w:r>
        <w:t>案例中的日期、用途、面積、車位、真價、預測及同案支持量都是已觀察證據。以下原因屬待驗證假設；目前沒有藉由重訓對照證明因果，也沒有依案例改動提交價格。[8]</w:t>
      </w:r>
    </w:p>
    <w:p>
      <w:pPr>
        <w:pStyle w:val="Heading2"/>
      </w:pPr>
      <w:r>
        <w:t>依用途與規模檢查可比性</w:t>
      </w:r>
    </w:p>
    <w:p>
      <w:pPr>
        <w:keepNext w:val="0"/>
      </w:pPr>
      <w:r>
        <w:t>A、B、C的建物面積都高於fit第99百分位。廠辦、商辦與店面也可能具有不同估價關係。可先以fit可知的用途與面積預先定義群組，比較群組模型或更細緻的可比交易規則；驗證必須保留原高價交易，並檢查是否犧牲一般住宅的MAE。</w:t>
      </w:r>
    </w:p>
    <w:p>
      <w:pPr>
        <w:pStyle w:val="Heading2"/>
      </w:pPr>
      <w:r>
        <w:t>把參考支持量納入信任程度</w:t>
      </w:r>
    </w:p>
    <w:p>
      <w:pPr>
        <w:keepNext w:val="0"/>
      </w:pPr>
      <w:r>
        <w:t>現有參考已按建物類型與主要用途分組；此處同案130/0是描述性盤點，不等於實際reference支持量。下一步可檢查各層實際支持，測試既有分組內相近面積／車位條件與支持不足回退。門檻訓練前固定。</w:t>
      </w:r>
    </w:p>
    <w:p>
      <w:pPr>
        <w:pStyle w:val="Heading2"/>
      </w:pPr>
      <w:r>
        <w:t>避免三路共同偏向同一方向</w:t>
      </w:r>
    </w:p>
    <w:p>
      <w:pPr>
        <w:keepNext w:val="0"/>
      </w:pPr>
      <w:r>
        <w:t>三路共享LightGBM與部分資料、參考狀態；中位數只抑制單一路線的極端值。若三路對同一稀有用途都偏低或偏高，最終仍會出錯。可保存逐路誤差及相關性，預先設計固定消融，確認是原模型、參考修正或融合哪一段需要改進。</w:t>
      </w:r>
    </w:p>
    <w:p>
      <w:pPr>
        <w:pStyle w:val="Heading2"/>
      </w:pPr>
      <w:r>
        <w:t>用新的時間留出檢驗改進</w:t>
      </w:r>
    </w:p>
    <w:p>
      <w:pPr>
        <w:keepNext w:val="0"/>
      </w:pPr>
      <w:r>
        <w:t>既有年度窗口已反覆用於選型，現在案例也是同一批窗口的事後分析。任何新特徵、分群或融合規則，都應先固定假設與設定，再用尚未參與選型的新時間留出及多seed對照。先比較整體MAE，再檢查城市、建案狀態、用途與尾端退步；沒有新標籤時，保留改善尚待確認的結論。</w:t>
      </w:r>
    </w:p>
    <w:p>
      <w:pPr>
        <w:keepNext w:val="0"/>
      </w:pPr>
      <w:r>
        <w:t>案例總價高於fit第99百分位5,597萬元，是取得驗證真價後才可描述的結果；部署時只能用已知房屋條件辨識可能超出訓練範圍，不能用test未知真價選規則。</w:t>
      </w:r>
    </w:p>
    <w:p>
      <w:r>
        <w:br w:type="page"/>
      </w:r>
    </w:p>
    <w:p>
      <w:pPr>
        <w:pStyle w:val="Heading1"/>
      </w:pPr>
      <w:r>
        <w:t>18 公開成績與結論的限制</w:t>
      </w:r>
    </w:p>
    <w:p>
      <w:r>
        <w:rPr>
          <w:b w:val="0"/>
        </w:rPr>
        <w:t>Public約使用test的30%計分，Private約為其餘70%；這與課程valid不同。公開成績只能描述公開部分，不能直接推論隱藏部分。[3][5]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使用者回報Public MAE元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基準方法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1,998,568.5706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最終提交方法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1,995,836.2136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差值 此方法減基準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−2,732.3570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公開MAE約199.58萬元，比基準降低約2,732元，約0.1367%。此數值原由使用者回報，已由本次截圖及登入Kaggle頁面核對；尚未核對平台上傳檔案bytes，Private未知。</w:t>
      </w:r>
    </w:p>
    <w:p>
      <w:pPr>
        <w:pStyle w:val="Heading2"/>
      </w:pPr>
      <w:r>
        <w:t>離線較好仍可能在平台較差</w:t>
      </w:r>
    </w:p>
    <w:p>
      <w:r>
        <w:rPr>
          <w:b w:val="0"/>
        </w:rPr>
        <w:t>另一對照方法在原三期整體及固定加權離線指標都優於基準，Public卻為2,083,045.2932元，反而較差；它在最早及最近年度的離線MAE也優於最終方法。這表示歷史驗證無法保證平台表現，不能只保留支持最終方法的比較。</w:t>
      </w:r>
    </w:p>
    <w:p>
      <w:pPr>
        <w:pStyle w:val="Heading2"/>
      </w:pPr>
      <w:r>
        <w:t>改善幅度與證據界線</w:t>
      </w:r>
    </w:p>
    <w:p>
      <w:r>
        <w:rPr>
          <w:b w:val="0"/>
        </w:rPr>
        <w:t>原強條件要求三窗整體與固定加權都改善、最近至少改善0.5%，並檢查季度和大型群退步。此方法未通過原強條件；它通過的是訓練前另訂的探索提交條件，不能把兩者混為一談。</w:t>
      </w:r>
    </w:p>
    <w:p>
      <w:r>
        <w:rPr>
          <w:b w:val="0"/>
        </w:rPr>
        <w:t>依保存預測進行建案配對重抽樣，最近年度整體差值95%區間約為−3,594.91至＋523.35元，跨過0，尚不能據此宣稱穩定勝出。重抽樣沒有重新訓練，也未校正反覆選型及未來分布變動，改善比例不是Private勝率。</w:t>
      </w:r>
    </w:p>
    <w:p>
      <w:r>
        <w:rPr>
          <w:b w:val="0"/>
        </w:rPr>
        <w:t>每次參考單價神經網路使用單一seed；基準使用保存結果，沒有同期重新訓練完全匹配的對照。因此小幅差異不能完全分離為損失函數的單獨效果，也未涵蓋GPU重訓變異。</w:t>
      </w:r>
    </w:p>
    <w:p>
      <w:r>
        <w:br w:type="page"/>
      </w:r>
    </w:p>
    <w:p>
      <w:pPr>
        <w:pStyle w:val="Heading1"/>
      </w:pPr>
      <w:r>
        <w:t>19 最終答案與可追溯性</w:t>
      </w:r>
    </w:p>
    <w:p>
      <w:r>
        <w:rPr>
          <w:b w:val="0"/>
        </w:rPr>
        <w:t>方法確定後，最終使用467,221筆有標籤資料。全量階段新增訓練一個參考單價神經網路，其餘五模型沿用保存預測向量。新神經網路重載後，對47,073筆測試交易推論核對一致，再重算神經網路路線的成交與空間修正，並與保存的另外兩路逐筆取中位數。[6]</w:t>
      </w:r>
    </w:p>
    <w:p>
      <w:pPr>
        <w:pStyle w:val="Heading2"/>
      </w:pPr>
      <w:r>
        <w:t>提交檔案檢查</w:t>
      </w:r>
    </w:p>
    <w:p>
      <w:r>
        <w:rPr>
          <w:b w:val="0"/>
        </w:rPr>
        <w:t>最終總價只取整一次，依指定編號順序輸出「編號」與「總價元」兩欄，共47,073筆。以獨立CSV讀取檢查欄名、列數、編號、順序、整數金額及全檔指紋，確保交付對應同一份答案。編號只用於對齊，不用來人工調價。</w:t>
      </w:r>
    </w:p>
    <w:p>
      <w:pPr>
        <w:spacing w:before="80" w:after="200"/>
        <w:jc w:val="center"/>
      </w:pPr>
      <w:r>
        <w:rPr>
          <w:b/>
        </w:rPr>
        <w:t>整數總價 ＝ max（rint（最終總價），1）</w:t>
      </w:r>
    </w:p>
    <w:p>
      <w:r>
        <w:rPr>
          <w:b w:val="0"/>
        </w:rPr>
        <w:t>最終提交檔SHA256如下，兩行串接為完整指紋：</w:t>
      </w:r>
    </w:p>
    <w:p>
      <w:pPr>
        <w:spacing w:after="40"/>
      </w:pPr>
      <w:r>
        <w:rPr>
          <w:rFonts w:ascii="Consolas" w:hAnsi="Consolas"/>
          <w:b w:val="0"/>
          <w:sz w:val="20"/>
        </w:rPr>
        <w:t>36231cd17a6cbeafefeb62a7989d207fa20</w:t>
      </w:r>
    </w:p>
    <w:p>
      <w:pPr>
        <w:spacing w:after="40"/>
      </w:pPr>
      <w:r>
        <w:rPr>
          <w:rFonts w:ascii="Consolas" w:hAnsi="Consolas"/>
          <w:b w:val="0"/>
          <w:sz w:val="20"/>
        </w:rPr>
        <w:t>d6c5f7aaf99857e4d9addd25597c1</w:t>
      </w:r>
    </w:p>
    <w:p>
      <w:pPr>
        <w:pStyle w:val="Heading2"/>
      </w:pPr>
      <w:r>
        <w:t>保存與重現</w:t>
      </w:r>
    </w:p>
    <w:p>
      <w:r>
        <w:rPr>
          <w:b w:val="0"/>
        </w:rPr>
        <w:t>來源、設定、模型重載、預測組合與答案檔身分都有保存證據。相對基準有13,002筆取整價格不同；未取整預測的平均絕對差為29,521.0062元，這是兩份預測的差，不是真價誤差或改善金額。</w:t>
      </w:r>
    </w:p>
    <w:p>
      <w:r>
        <w:rPr>
          <w:b w:val="0"/>
        </w:rPr>
        <w:t>GitHub提供必要來源與文件，不含課程交易表、私有模型或提交CSV。尚未完成在乾淨環境從原始train／valid重訓全部六模型並產生最終答案的端到端驗證；固定seed與檔案指紋支持追查，不能保證任意硬體重訓完全相同。</w:t>
      </w:r>
    </w:p>
    <w:p>
      <w:pPr>
        <w:pStyle w:val="Heading2"/>
      </w:pPr>
      <w:r>
        <w:t>結論與證據來源</w:t>
      </w:r>
    </w:p>
    <w:p>
      <w:r>
        <w:rPr>
          <w:b w:val="0"/>
        </w:rPr>
        <w:t>整套流程結合資料清理、價格表示、參考資訊與固定融合，並以時間驗證檢查未知交易的估價能力。目前可觀察到小幅改善，但跨期與分群結果不一致，Private未知。後續應優先使用新的時間留出資料及多seed對照確認穩定性。</w:t>
      </w:r>
    </w:p>
    <w:p>
      <w:pPr>
        <w:spacing w:after="40"/>
      </w:pPr>
      <w:r>
        <w:rPr>
          <w:b w:val="0"/>
          <w:sz w:val="19"/>
        </w:rPr>
        <w:t>[1] 資料讀取、完全去重與特徵解析程式。</w:t>
      </w:r>
    </w:p>
    <w:p>
      <w:pPr>
        <w:spacing w:after="40"/>
      </w:pPr>
      <w:r>
        <w:rPr>
          <w:b w:val="0"/>
          <w:sz w:val="19"/>
        </w:rPr>
        <w:t>[2] 六模型訓練、神經網路編碼、參考單價及融合來源。</w:t>
      </w:r>
    </w:p>
    <w:p>
      <w:pPr>
        <w:spacing w:after="40"/>
      </w:pPr>
      <w:r>
        <w:rPr>
          <w:b w:val="0"/>
          <w:sz w:val="19"/>
        </w:rPr>
        <w:t>[3] 三年度與額外二月起點的離線結果、分群及重抽樣紀錄。</w:t>
      </w:r>
    </w:p>
    <w:p>
      <w:pPr>
        <w:spacing w:after="40"/>
      </w:pPr>
      <w:r>
        <w:rPr>
          <w:b w:val="0"/>
          <w:sz w:val="19"/>
        </w:rPr>
        <w:t>[4] 固定30輪診斷的逐輪MAE、快照及保存預測核對。</w:t>
      </w:r>
    </w:p>
    <w:p>
      <w:pPr>
        <w:spacing w:after="40"/>
      </w:pPr>
      <w:r>
        <w:rPr>
          <w:b w:val="0"/>
          <w:sz w:val="19"/>
        </w:rPr>
        <w:t>[5] 最終選定、使用者公開分數回報與本次平台頁面核對。</w:t>
      </w:r>
    </w:p>
    <w:p>
      <w:pPr>
        <w:spacing w:after="40"/>
      </w:pPr>
      <w:r>
        <w:rPr>
          <w:b w:val="0"/>
          <w:sz w:val="19"/>
        </w:rPr>
        <w:t>[6] 全量訓練設定、模型重載與CSV發行核對。</w:t>
      </w:r>
    </w:p>
    <w:p>
      <w:pPr>
        <w:spacing w:after="40"/>
      </w:pPr>
      <w:r>
        <w:rPr>
          <w:sz w:val="19"/>
        </w:rPr>
        <w:t>[7] 清理後train的城市總價描述統計與樣本分布。</w:t>
      </w:r>
    </w:p>
    <w:p>
      <w:pPr>
        <w:spacing w:after="40"/>
      </w:pPr>
      <w:r>
        <w:rPr>
          <w:sz w:val="19"/>
        </w:rPr>
        <w:t>[8] 封存完整融合驗證預測的列序、誤差、分群及匿名案例核對。</w:t>
      </w:r>
    </w:p>
    <w:p>
      <w:r>
        <w:rPr>
          <w:b w:val="0"/>
        </w:rPr>
        <w:t>程式與證據入口：github.com/ziyi930108/nycu-house-price-regression（私人儲存庫，需存取權限）。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60" w:lineRule="exact"/>
      <w:snapToGrid w:val="0"/>
    </w:pPr>
    <w:rPr>
      <w:rFonts w:ascii="Calibri" w:hAnsi="Calibr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42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25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98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40"/>
      <w:snapToGrid w:val="0"/>
    </w:pPr>
    <w:rPr>
      <w:rFonts w:ascii="Calibri" w:hAnsi="Calibri" w:eastAsia="Microsoft Jheng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台灣房屋銷售價格預測挑戰賽</dc:title>
  <dc:subject>房屋總價預測方法與結果</dc:subject>
  <dc:creator>廖子頤</dc:creator>
  <cp:keywords>房屋總價,MAE,資料清理,時間驗證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