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本研究以課程提供的臺灣房屋交易資料建立總價回歸方法。預測流程結合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pPr>
        <w:pStyle w:val="Heading1"/>
      </w:pPr>
      <w:r>
        <w:t>1 研究目標與評估指標</w:t>
      </w:r>
    </w:p>
    <w:p>
      <w:r>
        <w:t>本研究預測每筆交易的房屋總價，而非直接將單價作為最終答案。輸入包含位置、面積、樓層、建物類型及交易日期等資訊。模型需利用已知交易學習關係，再對未提供成交總價的測試資料產生預測。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以下金額皆為新臺幣元；差值為本研究方法減基準，負值表示改善。基準方法僅用於衡量本研究設計的差異。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本研究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0.5%，並檢查季度與大型群退步幅度。本研究方法未通過此強條件；它通過的是事前另固定的探索提交條件。後續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本研究方法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差值本研究減基準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本研究方法的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優於本研究方法。這項反例顯示離線改善不能保證平台成績改善，不能只保留支持最終方法的結果。[1][3]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提供本研究文件與必要來源，不包含課程交易表、私有模型或提交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本研究將六個模型的不同價格表示統一為房屋總價，透過三路融合、可比成交與空間修正，再以中位數形成最終預測。其中，參考單價神經網路採日期加權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也未知。本研究的結論限於目前評估證據，不保證任何未來年度、房屋群或隱藏測試部分皆改善。後續若進一步研究，應先固定假設與評估程序，優先檢查新的時間留出資料及多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