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本研究以課程提供的臺灣房屋交易資料建立總價回歸方法。預測流程結合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r>
        <w:t>三個主要歷史驗證期間中，本研究方法有兩期改善、一期退步；最近一期總價 MAE 為 1,381,702.87 元，相較基準降低 1,525.54 元。依回報的 Public 成績，本研究 MAE 為 1,995,836.2136 元，相較基準降低約 0.1367%。這些結果顯示本研究方法有小幅改善，但驗證窗口曾反覆使用、分群效果不一致，且 Private 成績未知，不能保證未來資料皆有改善。[1][3]</w:t>
      </w:r>
    </w:p>
    <w:p>
      <w:pPr>
        <w:pStyle w:val="Heading1"/>
      </w:pPr>
      <w:r>
        <w:t>1 研究目標與評估指標</w:t>
      </w:r>
    </w:p>
    <w:p>
      <w:r>
        <w:t>本研究預測每筆交易的房屋總價，而非直接將單價作為最終答案。輸入包含位置、面積、樓層、建物類型及交易日期等資訊。模型需利用已知交易學習關係，再對未提供成交總價的測試資料產生預測。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以下金額皆為新臺幣元；差值為本研究方法減基準，負值表示改善。基準方法僅用於衡量本研究設計的差異。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本研究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0.5%，並檢查季度與大型群退步幅度。本研究方法未通過此強條件；它通過的是事前另固定的探索提交條件。後續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本研究方法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差值本研究減基準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本研究方法的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優於本研究方法。這項反例顯示離線改善不能保證平台成績改善，不能只保留支持最終方法的結果。[1][3]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提供本研究文件與必要來源，不包含課程交易表、私有模型或提交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本研究將六個模型的不同價格表示統一為房屋總價，透過三路融合、可比成交與空間修正，再以中位數形成最終預測。其中，參考單價神經網路採日期加權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也未知。本研究的結論限於目前評估證據，不保證任何未來年度、房屋群或隱藏測試部分皆改善。後續若進一步研究，應先固定假設與評估程序，優先檢查新的時間留出資料及多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