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臺灣房屋總價預測</w:t>
      </w:r>
    </w:p>
    <w:p>
      <w:pPr>
        <w:pStyle w:val="Subtitle"/>
      </w:pPr>
      <w:r>
        <w:t>v25 最終方法與實驗報告</w:t>
      </w:r>
    </w:p>
    <w:p>
      <w:r>
        <w:t>報告日期  2026 年 10 月 12 日</w:t>
      </w:r>
    </w:p>
    <w:p>
      <w:pPr>
        <w:pStyle w:val="Heading1"/>
      </w:pPr>
      <w:r>
        <w:t>摘要</w:t>
      </w:r>
    </w:p>
    <w:p>
      <w:r>
        <w:t>本研究以課程提供的臺灣房屋交易資料建立總價回歸方法。預測流程結合 CatBoost、LightGBM 與兩個神經網路，共六個模型；各模型輸出統一換算為總價後形成三路預測，再結合可比成交與空間資訊修正，最後逐筆取中位數。最終選用 v25，其主要調整是將參考單價神經網路的訓練損失改為日期加權 SmoothL1，其餘五個模型與組合配方沿用原設定。[1][2]</w:t>
      </w:r>
    </w:p>
    <w:p>
      <w:r>
        <w:t>三個主要歷史驗證期間中，v25 有兩期改善、一期退步；最近一期總價 MAE 為 1,381,702.87 元，相較基準降低 1,525.54 元。依回報的 Public 成績，v25 MAE 為 1,995,836.2136 元，相較基準降低約 0.1367%。這些結果支持選用 v25 作為小幅改良版本，但驗證窗口曾反覆使用、分群效果不一致，且 Private 成績未知，不能保證未來資料皆有改善。[1][3]</w:t>
      </w:r>
    </w:p>
    <w:p>
      <w:pPr>
        <w:pStyle w:val="Heading1"/>
      </w:pPr>
      <w:r>
        <w:t>1 研究目標與評估指標</w:t>
      </w:r>
    </w:p>
    <w:p>
      <w:r>
        <w:t>本研究預測每筆交易的房屋總價，而非直接將單價作為最終答案。輸入包含位置、面積、樓層、建物類型及交易日期等資訊。模型需利用已知交易學習關係，再對未提供成交總價的測試資料產生預測。</w:t>
      </w:r>
    </w:p>
    <w:p>
      <w:pPr>
        <w:spacing w:before="100" w:after="180"/>
        <w:jc w:val="center"/>
      </w:pPr>
      <w:r>
        <w:rPr>
          <w:b/>
          <w:sz w:val="20"/>
        </w:rPr>
        <w:t>MAE ＝ 所有交易的 |預測總價 − 實際總價| 加總 ÷ 交易筆數</w:t>
      </w:r>
    </w:p>
    <w:p>
      <w:r>
        <w:t>平均絕對誤差（MAE）的單位為新臺幣元，數值越低越好。它是所有房屋絕對誤差的平均，不表示每間房屋都差相同金額；高估與低估也不會互相抵銷。訓練損失可採其他形式，但所有正式比較均還原為總價 MAE。</w:t>
      </w:r>
    </w:p>
    <w:p>
      <w:r>
        <w:br w:type="page"/>
      </w:r>
    </w:p>
    <w:p>
      <w:pPr>
        <w:pStyle w:val="Heading1"/>
      </w:pPr>
      <w:r>
        <w:t>2 資料來源與清理</w:t>
      </w:r>
    </w:p>
    <w:p>
      <w:r>
        <w:t>價格標籤來自課程提供的 train 與 valid 資料。道路地理特徵使用既有來源紀錄中的非價格資訊；沒有向內政部不動產成交案件實際資訊資料供應系統核對測試答案。測試真價未知，不能自行計算測試 MAE。[1]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350"/>
        <w:gridCol w:w="3175"/>
      </w:tblGrid>
      <w:tr>
        <w:trPr>
          <w:cantSplit/>
          <w:tblHeader/>
        </w:trPr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8"/>
              </w:rPr>
              <w:t>資料處理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8"/>
              </w:rPr>
              <w:t>筆數</w:t>
            </w:r>
          </w:p>
        </w:tc>
      </w:tr>
      <w:tr>
        <w:trPr>
          <w:cantSplit/>
        </w:trPr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原始 train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455,787</w:t>
            </w:r>
          </w:p>
        </w:tc>
      </w:tr>
      <w:tr>
        <w:trPr>
          <w:cantSplit/>
        </w:trPr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移除混入資料區的英文表頭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移除表頭後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455,784</w:t>
            </w:r>
          </w:p>
        </w:tc>
      </w:tr>
      <w:tr>
        <w:trPr>
          <w:cantSplit/>
        </w:trPr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移除重複紀錄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529</w:t>
            </w:r>
          </w:p>
        </w:tc>
      </w:tr>
      <w:tr>
        <w:trPr>
          <w:cantSplit/>
        </w:trPr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清理後 train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455,255</w:t>
            </w:r>
          </w:p>
        </w:tc>
      </w:tr>
      <w:tr>
        <w:trPr>
          <w:cantSplit/>
        </w:trPr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課程 valid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11,994</w:t>
            </w:r>
          </w:p>
        </w:tc>
      </w:tr>
      <w:tr>
        <w:trPr>
          <w:cantSplit/>
        </w:trPr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最終合併時移除跨集重複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28</w:t>
            </w:r>
          </w:p>
        </w:tc>
      </w:tr>
      <w:tr>
        <w:trPr>
          <w:cantSplit/>
        </w:trPr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最終有標籤訓練資料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467,221</w:t>
            </w:r>
          </w:p>
        </w:tc>
      </w:tr>
      <w:tr>
        <w:trPr>
          <w:cantSplit/>
        </w:trPr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完整 test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47,073</w:t>
            </w:r>
          </w:p>
        </w:tc>
      </w:tr>
    </w:tbl>
    <w:p>
      <w:pPr>
        <w:spacing w:after="0"/>
      </w:pPr>
    </w:p>
    <w:p>
      <w:pPr>
        <w:pStyle w:val="Heading2"/>
      </w:pPr>
      <w:r>
        <w:t>去重原則</w:t>
      </w:r>
    </w:p>
    <w:p>
      <w:r>
        <w:t>依排除編號後的全部原始欄位判定重複，包含成交總價。符合規則的紀錄保留一筆，避免同樣內容被重複加權。這不是僅按編號刪除，也不是刪除同建案或條件相似的不同交易；欄位一致只代表符合紀錄去重規則，並未經外部查證為同一真實交易。</w:t>
      </w:r>
    </w:p>
    <w:p>
      <w:pPr>
        <w:pStyle w:val="Heading2"/>
      </w:pPr>
      <w:r>
        <w:t>缺漏與無效值</w:t>
      </w:r>
    </w:p>
    <w:p>
      <w:r>
        <w:t>數字文字、民國日期與中文樓層轉為可計算表示，並保留缺失或異常旗標。有效面積優先取正且有限的建物面積，否則取有效車位面積，最後才以 1 回退。這只維持數值計算，不代表還原了真實室內面積。測試資料不刪列、不去重，完整保留指定 ID 與順序。</w:t>
      </w:r>
    </w:p>
    <w:p>
      <w:r>
        <w:br w:type="page"/>
      </w:r>
    </w:p>
    <w:p>
      <w:pPr>
        <w:pStyle w:val="Heading1"/>
      </w:pPr>
      <w:r>
        <w:t>3 特徵與模型輸入</w:t>
      </w:r>
    </w:p>
    <w:p>
      <w:r>
        <w:t>特徵用來提供估價線索。地點反映區域差異，面積與樓層描述房屋條件，交易日期則讓模型辨識不同時期的市場差異。單一特徵並不決定價格，多項條件需要共同考量。[1]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540"/>
      </w:tblGrid>
      <w:tr>
        <w:trPr>
          <w:cantSplit/>
          <w:tblHeader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8"/>
              </w:rPr>
              <w:t>特徵類別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8"/>
              </w:rPr>
              <w:t>主要內容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位置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城市、行政區、地址、道路與建案相關資訊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房屋條件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建物與土地面積、車位、樓層、格局、建物類型及用途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交易時間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年、月、季、日期索引及月份週期等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資料品質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缺失、日期異常、面積與格局異常等旗標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道路地理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道路位置、道路範圍、匹配狀態等非價格資訊</w:t>
            </w:r>
          </w:p>
        </w:tc>
      </w:tr>
    </w:tbl>
    <w:p>
      <w:pPr>
        <w:spacing w:after="0"/>
      </w:pPr>
    </w:p>
    <w:p>
      <w:r>
        <w:t>基礎特徵為 87 欄，加入 8 欄道路地理特徵後為 95 欄，其中 23 欄為類別。道路地理資訊不是精確門牌定位；不同模型的編碼方式也不同，不能把 95 欄視為所有神經網路的最終輸入維度。</w:t>
      </w:r>
    </w:p>
    <w:p>
      <w:pPr>
        <w:pStyle w:val="Heading2"/>
      </w:pPr>
      <w:r>
        <w:t>防止答案進入特徵</w:t>
      </w:r>
    </w:p>
    <w:p>
      <w:r>
        <w:t>編號用於對齊與提交，不作模型特徵；總價是訓練目標。建築完成年月全部缺漏，無法據此建立可靠屋齡；管理組織為常數而排除。解約情形可能包含交易後資訊，也不納入。備註僅轉為有限旗標，不將完整文字或價格內容輸入模型。</w:t>
      </w:r>
    </w:p>
    <w:p>
      <w:pPr>
        <w:pStyle w:val="Heading2"/>
      </w:pPr>
      <w:r>
        <w:t>兩個神經網路的表示</w:t>
      </w:r>
    </w:p>
    <w:p>
      <w:r>
        <w:t>參考單價神經網路以 72 個數值欄位經 fit 中位數、尺度與 asinh 轉換，再加入 72 個非有限值旗標，共 144 個數值輸入。23 個類別使用 embedding；fit 中少於 5 次或推論時未見的類別編為 0，編號大小不代表價格高低。面積神經網路保留數值與缺失資訊，再加入依 fit 分位節點建立的分段線性編碼，最終數值輸入為 603 維。所有轉換規則只由當次 fit 建立，再沿用到待預測資料。</w:t>
      </w:r>
    </w:p>
    <w:p>
      <w:r>
        <w:br w:type="page"/>
      </w:r>
    </w:p>
    <w:p>
      <w:pPr>
        <w:pStyle w:val="Heading1"/>
      </w:pPr>
      <w:r>
        <w:t>4 六個模型與三路融合</w:t>
      </w:r>
    </w:p>
    <w:p>
      <w:r>
        <w:t>不同模型以不同價格表示學習，目的在補充單一方法的不足；模型數量增加本身不保證變準，效果仍需驗證。六個模型先統一還原為新臺幣總價元，再進行融合。[1][2]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2494"/>
        <w:gridCol w:w="5839"/>
      </w:tblGrid>
      <w:tr>
        <w:trPr>
          <w:cantSplit/>
          <w:tblHeader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8"/>
              </w:rPr>
              <w:t>符號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8"/>
              </w:rPr>
              <w:t>模型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8"/>
              </w:rPr>
              <w:t>輸出與作用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C_unit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CatBoost 單價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單價乘有效面積；訓練使用面積與日期權重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L_unit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LightGBM 單價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單價換算總價，作為三路共同分量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C_raw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CatBoost 總價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直接學習總價尺度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C_log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CatBoost 對數總價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學習 log1p 轉換後價格，再逆轉為總價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N_area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面積神經網路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預測正值單價，再乘有效面積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N_prior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參考單價神經網路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預測正值倍率，乘參考單價與有效面積</w:t>
            </w:r>
          </w:p>
        </w:tc>
      </w:tr>
    </w:tbl>
    <w:p>
      <w:pPr>
        <w:spacing w:after="0"/>
      </w:pPr>
    </w:p>
    <w:p>
      <w:pPr>
        <w:spacing w:before="100" w:after="180"/>
        <w:jc w:val="center"/>
      </w:pPr>
      <w:r>
        <w:rPr>
          <w:b/>
          <w:sz w:val="20"/>
        </w:rPr>
        <w:t>B_unit ＝ 0.75 C_unit ＋ 0.25 L_unit</w:t>
      </w:r>
    </w:p>
    <w:p>
      <w:pPr>
        <w:spacing w:before="100" w:after="180"/>
        <w:jc w:val="center"/>
      </w:pPr>
      <w:r>
        <w:rPr>
          <w:b/>
          <w:sz w:val="20"/>
        </w:rPr>
        <w:t>B_nn ＝ 0.75 × (0.5 N_area ＋ 0.5 N_prior) ＋ 0.25 L_unit</w:t>
      </w:r>
    </w:p>
    <w:p>
      <w:pPr>
        <w:spacing w:before="100" w:after="180"/>
        <w:jc w:val="center"/>
      </w:pPr>
      <w:r>
        <w:rPr>
          <w:b/>
          <w:sz w:val="20"/>
        </w:rPr>
        <w:t>B_log ＝ 0.75 × (0.5 C_raw ＋ 0.5 C_log) ＋ 0.25 L_unit</w:t>
      </w:r>
    </w:p>
    <w:p>
      <w:r>
        <w:t>各路原始組合 B 先以可比成交修正 R，再由空間修正 S 同時接收 B 與 R(B)。R 使用 fit 中同建案、地址、道路等交易及 fit 估計的時間趨勢；S 依支持量與相容性補充參考較弱的情況，資訊不足時回退。最終取三路修正結果的中位數。</w:t>
      </w:r>
    </w:p>
    <w:p>
      <w:pPr>
        <w:spacing w:before="100" w:after="180"/>
        <w:jc w:val="center"/>
      </w:pPr>
      <w:r>
        <w:rPr>
          <w:b/>
          <w:sz w:val="20"/>
        </w:rPr>
        <w:t>U ＝ S(B_unit, R(B_unit))     N ＝ S(B_nn, R(B_nn))</w:t>
      </w:r>
    </w:p>
    <w:p>
      <w:pPr>
        <w:spacing w:before="100" w:after="180"/>
        <w:jc w:val="center"/>
      </w:pPr>
      <w:r>
        <w:rPr>
          <w:b/>
          <w:sz w:val="20"/>
        </w:rPr>
        <w:t>H ＝ S(B_log, R(B_log))     最終預測 ＝ median(N, H, U)</w:t>
      </w:r>
    </w:p>
    <w:p>
      <w:r>
        <w:t>中位數可減少單一路線極端值的影響，但不能消除共同偏差。三路共享 LightGBM，也使用相關資料，因此並非完全獨立；若三路一起高估，最終結果仍可能高估。75% 與 25% 為固定配方，不是任意資料上的最佳比例保證。</w:t>
      </w:r>
    </w:p>
    <w:p>
      <w:r>
        <w:br w:type="page"/>
      </w:r>
    </w:p>
    <w:p>
      <w:pPr>
        <w:pStyle w:val="Heading1"/>
      </w:pPr>
      <w:r>
        <w:t>5 參考單價與資料隔離</w:t>
      </w:r>
    </w:p>
    <w:p>
      <w:r>
        <w:t>參考單價神經網路先建立同類交易的價格起點，再學習個別房屋的倍率調整。參考單價來自 fit 標籤；有效面積將單價轉成總價尺度，神經網路以 Softplus 輸出正值倍率。[1][2]</w:t>
      </w:r>
    </w:p>
    <w:p>
      <w:pPr>
        <w:spacing w:before="100" w:after="180"/>
        <w:jc w:val="center"/>
      </w:pPr>
      <w:r>
        <w:rPr>
          <w:b/>
          <w:sz w:val="20"/>
        </w:rPr>
        <w:t>預測總價 ＝ 參考單價 × 有效面積 × 預測倍率</w:t>
      </w:r>
    </w:p>
    <w:p>
      <w:r>
        <w:t>例如參考單價每平方公尺 20 萬元、有效面積 40 平方公尺，形成 800 萬元基準；倍率若為 1.2，預測總價為 960 萬元。此例僅解釋公式，並非真實測試交易。倍率由模型預測，不能用未知真價倒算。</w:t>
      </w:r>
    </w:p>
    <w:p>
      <w:pPr>
        <w:pStyle w:val="Heading2"/>
      </w:pPr>
      <w:r>
        <w:t>分層查詢與日期加權中位數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6350"/>
        <w:gridCol w:w="1984"/>
      </w:tblGrid>
      <w:tr>
        <w:trPr>
          <w:cantSplit/>
          <w:tblHeader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8"/>
              </w:rPr>
              <w:t>查詢順序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8"/>
              </w:rPr>
              <w:t>群組條件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8"/>
              </w:rPr>
              <w:t>最低原始筆數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城市＋行政區＋交易類型＋建物類型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30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城市＋交易類型＋建物類型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30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交易類型＋建物類型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30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交易類型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30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可用參考的全域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無 30 筆門檻</w:t>
            </w:r>
          </w:p>
        </w:tc>
      </w:tr>
    </w:tbl>
    <w:p>
      <w:pPr>
        <w:spacing w:after="0"/>
      </w:pPr>
    </w:p>
    <w:p>
      <w:r>
        <w:t>細層資料不足就退回較粗層，減少少量交易的偶然影響。每層使用 365 天半衰期的日期加權中位單價：將原單價排序，依累積權重定位中間位置；恰好到總權重一半時，取相鄰兩單價平均。權重改變交易的份量，不是先把單價乘權重。缺失日期採中性權重 1，前四層支持量仍按原始筆數計算。建案不是這個先驗查表的 key。</w:t>
      </w:r>
    </w:p>
    <w:p>
      <w:pPr>
        <w:pStyle w:val="Heading2"/>
      </w:pPr>
      <w:r>
        <w:t>建案分組的五折交叉參考</w:t>
      </w:r>
    </w:p>
    <w:p>
      <w:r>
        <w:t>訓練資料依建案分五組，每組的參考單價只由另外四組建立，避免本組價格回流成自己的參考。待預測資料則使用完整 outer-fit 建立的參考。這是建案分組 OOF，不是逐筆時間 OOF；訓練列可能參考同一 fit 期間其他組日期較晚的交易。歷史驗證另以外層時間切點限制整套 fit 資料，兩種隔離角色不能混淆。</w:t>
      </w:r>
    </w:p>
    <w:p>
      <w:r>
        <w:br w:type="page"/>
      </w:r>
    </w:p>
    <w:p>
      <w:pPr>
        <w:pStyle w:val="Heading1"/>
      </w:pPr>
      <w:r>
        <w:t>6 日期加權 SmoothL1 與訓練設定</w:t>
      </w:r>
    </w:p>
    <w:p>
      <w:r>
        <w:t>v25 的唯一新訓練改動位於參考單價神經網路：由日期加權總價 MAE 改為日期加權 SmoothL1。輸入、架構、初始化、先驗、日期權重及其餘五模型保留原配方。其目的為讓接近正確價格時的梯度更平滑，較大誤差仍保持線性尾部；是否有效必須以總價 MAE 驗證。[1][2]</w:t>
      </w:r>
    </w:p>
    <w:p>
      <w:r>
        <w:t>設 e 為預測減真價，單位為百萬元，β＝0.1，即 10 萬元。每筆損失如下：</w:t>
      </w:r>
    </w:p>
    <w:p>
      <w:pPr>
        <w:spacing w:before="100" w:after="180"/>
        <w:jc w:val="center"/>
      </w:pPr>
      <w:r>
        <w:rPr>
          <w:b/>
          <w:sz w:val="20"/>
        </w:rPr>
        <w:t>當 |e| ＜ β 時，ℓ(e) ＝ e² ÷ (2β)</w:t>
      </w:r>
    </w:p>
    <w:p>
      <w:pPr>
        <w:spacing w:before="100" w:after="180"/>
        <w:jc w:val="center"/>
      </w:pPr>
      <w:r>
        <w:rPr>
          <w:b/>
          <w:sz w:val="20"/>
        </w:rPr>
        <w:t>當 |e| ≥ β 時，ℓ(e) ＝ |e| − β ÷ 2</w:t>
      </w:r>
    </w:p>
    <w:p>
      <w:pPr>
        <w:spacing w:before="100" w:after="180"/>
        <w:jc w:val="center"/>
      </w:pPr>
      <w:r>
        <w:rPr>
          <w:b/>
          <w:sz w:val="20"/>
        </w:rPr>
        <w:t>批次訓練損失 ＝ mean(wᵢ × ℓ(eᵢ))</w:t>
      </w:r>
    </w:p>
    <w:p>
      <w:r>
        <w:t>日期原始權重為 2 的 −(參考末日−成交日)/365 次方，再除以有效日期的平均權重；無效或缺失日期維持 1。相差一年時，較舊與較新交易的原始權重比例為 1 比 2。這提高近期交易對訓練的影響，不代表修改成交價格；每批次不再除以該批權重和。參考單價估計也使用日期權重，與此訓練損失的用途分開。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6917"/>
      </w:tblGrid>
      <w:tr>
        <w:trPr>
          <w:cantSplit/>
          <w:tblHeader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8"/>
              </w:rPr>
              <w:t>項目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8"/>
              </w:rPr>
              <w:t>固定設定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數值輸入與類別欄位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144 與 23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隱藏層與啟動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512 → 256 → 128；LayerNorm、ReLU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正則化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Dropout 0.1；category dropout 0.1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輸出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Softplus 正值倍率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訓練輪數與批次大小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30 epochs；2,048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亂數種子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42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最佳化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AdamW；learning rate 0.001；weight decay 0.0001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學習率排程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CosineAnnealingLR；T_max 30；eta_min 0.00001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模型選擇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固定最後一輪，未用驗證答案挑 epoch</w:t>
            </w:r>
          </w:p>
        </w:tc>
      </w:tr>
    </w:tbl>
    <w:p>
      <w:pPr>
        <w:spacing w:after="0"/>
      </w:pPr>
    </w:p>
    <w:p>
      <w:r>
        <w:t>推論時關閉 dropout，沿用 fit 編碼與參考狀態，不更新模型參數。面積神經網路則使用總價絕對誤差，沒有額外日期樣本權重；不能把六個模型都描述成以同一 SmoothL1 訓練。</w:t>
      </w:r>
    </w:p>
    <w:p>
      <w:r>
        <w:br w:type="page"/>
      </w:r>
    </w:p>
    <w:p>
      <w:pPr>
        <w:pStyle w:val="Heading1"/>
      </w:pPr>
      <w:r>
        <w:t>7 時間驗證與離線結果</w:t>
      </w:r>
    </w:p>
    <w:p>
      <w:r>
        <w:t>各歷史起點只使用切點以前的 train 資料建立整套模型、encoder、prior、可比成交與空間狀態，再預測較晚一年。不同版本在相同驗證房屋上比較總價 MAE。表中是各起點自行 fit 的 v25 配方，不是最終模型回測已學過的歷史資料。[1][4]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2211"/>
        <w:gridCol w:w="2211"/>
      </w:tblGrid>
      <w:tr>
        <w:trPr>
          <w:cantSplit/>
          <w:tblHeader/>
        </w:trPr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8"/>
              </w:rPr>
              <w:t>驗證期間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8"/>
              </w:rPr>
              <w:t>fit 筆數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8"/>
              </w:rPr>
              <w:t>驗證筆數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2021/08/11 至 2022/08/10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134,805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105,511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2022/08/11 至 2023/08/10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240,316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81,234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2023/08/11 至 2024/08/10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321,550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133,697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2023/02/11 至 2024/02/10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272,117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107,169</w:t>
            </w:r>
          </w:p>
        </w:tc>
      </w:tr>
    </w:tbl>
    <w:p>
      <w:pPr>
        <w:spacing w:after="0"/>
      </w:pPr>
    </w:p>
    <w:p>
      <w:r>
        <w:t>以下金額皆為新臺幣元；差值為 v25 減基準，負值表示改善。v22 僅作比較基準，並非本次交付版本。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2324"/>
        <w:gridCol w:w="2324"/>
        <w:gridCol w:w="1984"/>
      </w:tblGrid>
      <w:tr>
        <w:trPr>
          <w:cantSplit/>
          <w:tblHeader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8"/>
              </w:rPr>
              <w:t>驗證期間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8"/>
              </w:rPr>
              <w:t>基準 v22 MAE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8"/>
              </w:rPr>
              <w:t>v25 MAE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8"/>
              </w:rPr>
              <w:t>差值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2021/08 至 2022/08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2,309,352.36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2,310,236.02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+883.66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2022/08 至 2023/08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1,407,387.07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1,405,971.19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−1,415.88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2023/08 至 2024/08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1,383,228.41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1,381,702.87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−1,525.54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額外 2 月起點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1,336,410.67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1,336,107.62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−303.06</w:t>
            </w:r>
          </w:p>
        </w:tc>
      </w:tr>
    </w:tbl>
    <w:p>
      <w:pPr>
        <w:spacing w:after="0"/>
      </w:pPr>
    </w:p>
    <w:p>
      <w:r>
        <w:t>三個主要期間中有兩期改善、一期退步，最近一期改善約 0.1103%；額外 2 月起點改善約 303 元。這些都是小幅差異，且各窗口已多次參與研究，部分時間範圍重疊，不能當成四次獨立盲測。</w:t>
      </w:r>
    </w:p>
    <w:p>
      <w:pPr>
        <w:pStyle w:val="Heading2"/>
      </w:pPr>
      <w:r>
        <w:t>分群結果</w:t>
      </w:r>
    </w:p>
    <w:p>
      <w:r>
        <w:t>最近一期既有建案群 MAE 增加 213.10 元，新建案群減少 2,841.61 元。整體改善不代表每群都改善。另以 test 已知的既有／新建案比例 36.62%／63.38% 作固定加權診斷，最近一期減少 1,723.04 元；這是補充指標，不是官方評分，也沒有使用 test 真價。</w:t>
      </w:r>
    </w:p>
    <w:p>
      <w:pPr>
        <w:pStyle w:val="Heading2"/>
      </w:pPr>
      <w:r>
        <w:t>採用條件</w:t>
      </w:r>
    </w:p>
    <w:p>
      <w:r>
        <w:t>原強條件要求三窗整體及固定加權均改善、最近整體至少改善 0.5%，並檢查季度與大型群退步幅度。v25 未通過此強條件；它通過的是事前另固定的探索提交條件。後續 Public 回報與最終選定，不會把原強條件的失敗改寫為通過。</w:t>
      </w:r>
    </w:p>
    <w:p>
      <w:r>
        <w:br w:type="page"/>
      </w:r>
    </w:p>
    <w:p>
      <w:pPr>
        <w:pStyle w:val="Heading1"/>
      </w:pPr>
      <w:r>
        <w:t>8 公開成績與結果的不確定性</w:t>
      </w:r>
    </w:p>
    <w:p>
      <w:r>
        <w:t>Public 約以測試資料的 30% 評分，Private 約為其餘 70%；這不是課程 valid 的比例切分。Public 評分代表公開部分的表現，不能直接推論隱藏部分的結果。[3]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3175"/>
        <w:gridCol w:w="3798"/>
      </w:tblGrid>
      <w:tr>
        <w:trPr>
          <w:cantSplit/>
          <w:tblHeader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8"/>
              </w:rPr>
              <w:t>Public MAE 元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8"/>
              </w:rPr>
              <w:t>紀錄角色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基準 v22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1,998,568.5706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先前截圖回報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最終 v25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1,995,836.2136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2026/10/10 文字回報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差值 v25 減 v22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−2,732.3570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改善約 0.1367%</w:t>
            </w:r>
          </w:p>
        </w:tc>
      </w:tr>
    </w:tbl>
    <w:p>
      <w:pPr>
        <w:spacing w:after="0"/>
      </w:pPr>
    </w:p>
    <w:p>
      <w:r>
        <w:t>v25 的 Public MAE 約 199.58 萬元，與基準相差約 2,732 元。這不表示每間房屋都少錯相同金額。分數由回報紀錄取得，未另登入平台核對實際上傳檔案的 bytes；Private 仍未知。</w:t>
      </w:r>
    </w:p>
    <w:p>
      <w:pPr>
        <w:pStyle w:val="Heading2"/>
      </w:pPr>
      <w:r>
        <w:t>反覆選型與分布改變</w:t>
      </w:r>
    </w:p>
    <w:p>
      <w:r>
        <w:t>同一驗證窗口被反覆查看並用來改方法，即使答案未參與梯度更新，研究者仍可能逐漸選出特別適合該窗口的方法。這是選型偏差，與把答案直接放入特徵的資料洩漏不同。未來交易的地區、日期、價格帶及新舊建案比例改變，也可能使方法排名改變。</w:t>
      </w:r>
    </w:p>
    <w:p>
      <w:r>
        <w:t>本輪參考單價神經網路使用單一 seed，且基準採保存結果，沒有同期重新訓練 matched 對照。因此，小幅差異尚不能完整分離損失函數本身的效果與 GPU 重訓變異。</w:t>
      </w:r>
    </w:p>
    <w:p>
      <w:pPr>
        <w:pStyle w:val="Heading2"/>
      </w:pPr>
      <w:r>
        <w:t>必須保留的反例</w:t>
      </w:r>
    </w:p>
    <w:p>
      <w:r>
        <w:t>歷史對照 v24 在原三期整體及固定加權回測均優於 v22，但其 Public MAE 為 2,083,045.2932 元，反而較差。它也在最早及最近年度的離線 MAE 優於 v25。這項反例顯示離線改善不能保證平台成績改善，不能只保留支持最終方法的結果。[1][3]</w:t>
      </w:r>
    </w:p>
    <w:p>
      <w:pPr>
        <w:pStyle w:val="Heading2"/>
      </w:pPr>
      <w:r>
        <w:t>重抽樣分析的界線</w:t>
      </w:r>
    </w:p>
    <w:p>
      <w:r>
        <w:t>以既有預測做建案或月份區塊的配對 bootstrap，可觀察在這批資料上差值的不確定性，但沒有重新訓練，也未校正累積選型或未來分布變動。最近年度按建案重抽樣的整體差值 95% 區間約為 −3,594.91 至 +523.35 元，跨過零，不能據此宣稱穩定勝出。重抽樣中改善的比例亦不是 Private 勝率。</w:t>
      </w:r>
    </w:p>
    <w:p>
      <w:r>
        <w:br w:type="page"/>
      </w:r>
    </w:p>
    <w:p>
      <w:pPr>
        <w:pStyle w:val="Heading1"/>
      </w:pPr>
      <w:r>
        <w:t>9 實際訓練與驗證曲線</w:t>
      </w:r>
    </w:p>
    <w:p>
      <w:r>
        <w:t>為觀察學習過程，另以固定 v25 參考單價神經網路配方執行一次 30 輪診斷。使用 2023/08/11 以前 321,550 筆訓練資料，以及接下來一年 133,697 筆時間驗證資料。此圖不是原提交模型當時的訓練紀錄，也不是六模型完整融合的曲線。[5]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64000"/>
            <wp:docPr id="1" name="Picture 1" descr="固定三十輪的參考單價神經網路曲線。藍色訓練 MAE 下降，橘色時間驗證 MAE 後期波動趨平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實際訓練曲線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圖 1  固定架構的參考單價神經網路診斷曲線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061"/>
        <w:gridCol w:w="3061"/>
      </w:tblGrid>
      <w:tr>
        <w:trPr>
          <w:cantSplit/>
          <w:tblHeader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8"/>
              </w:rPr>
              <w:t>量測 MAE 元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8"/>
              </w:rPr>
              <w:t>第 1 輪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8"/>
              </w:rPr>
              <w:t>固定第 30 輪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訓練資料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2,235,313.48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715,006.13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時間驗證資料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1,981,140.43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1,777,133.98</w:t>
            </w:r>
          </w:p>
        </w:tc>
      </w:tr>
    </w:tbl>
    <w:p>
      <w:pPr>
        <w:spacing w:after="0"/>
      </w:pPr>
    </w:p>
    <w:p>
      <w:r>
        <w:t>兩條線均為 model.eval()、關閉 dropout 後的未加權總價 MAE，而非 SmoothL1 訓練損失。先封存 30 個快照再讀取驗證標籤評分，沒有依橘線最低點挑輪數，也沒有據此修改 v25 提交答案。</w:t>
      </w:r>
    </w:p>
    <w:p>
      <w:r>
        <w:t>訓練誤差下降較多，驗證誤差後期改善有限且波動。沒有明顯持續 U 形上升，仍不足以證明完全沒有過擬合；時間、房屋組成與訓練 OOF／驗證完整 fit 先驗的差異也影響落差。橫軸是固定架構的 epoch，不能稱為模型容量或 VC 維度。</w:t>
      </w:r>
    </w:p>
    <w:p>
      <w:r>
        <w:br w:type="page"/>
      </w:r>
    </w:p>
    <w:p>
      <w:pPr>
        <w:pStyle w:val="Heading1"/>
      </w:pPr>
      <w:r>
        <w:t>10 最終預測與可追溯性</w:t>
      </w:r>
    </w:p>
    <w:p>
      <w:r>
        <w:t>方法選定後，最終使用清理、去重後的 467,221 筆有標籤資料。v25 全量階段只新增一次參考單價神經網路訓練；另外五個模型沿用保存結果，不是重新訓練全部六模型。新模型保存後重新載入，對全部 47,073 筆 query 再預測並核對一致，之後重算神經網路路線的修正，與保存的另外兩路取中位數。[2][6]</w:t>
      </w:r>
    </w:p>
    <w:p>
      <w:pPr>
        <w:pStyle w:val="Heading2"/>
      </w:pPr>
      <w:r>
        <w:t>答案檔檢查</w:t>
      </w:r>
    </w:p>
    <w:p>
      <w:r>
        <w:t>最終總價只取整一次，使用 NumPy rint 並將結果至少設為 1，轉成整數。CSV 依 sample 的編號與順序輸出 47,073 列，欄名為「編號」與「總價元」。使用標準 CSV reader 獨立核對欄位、列數、全部 ID、價格整數、順序及完整 SHA256。編號只負責對齊，不用來人為修改價格。</w:t>
      </w:r>
    </w:p>
    <w:p>
      <w:pPr>
        <w:spacing w:before="100" w:after="180"/>
        <w:jc w:val="center"/>
      </w:pPr>
      <w:r>
        <w:rPr>
          <w:b/>
          <w:sz w:val="20"/>
        </w:rPr>
        <w:t>整數總價 ＝ max(rint(最終總價), 1)</w:t>
      </w:r>
    </w:p>
    <w:p>
      <w:r>
        <w:t>最終檔案：submission_v25_trial.csv。SHA256 分兩行列示，串接後為完整檔案指紋：</w:t>
      </w:r>
    </w:p>
    <w:p>
      <w:r>
        <w:rPr>
          <w:rFonts w:ascii="Consolas" w:hAnsi="Consolas"/>
          <w:sz w:val="18"/>
        </w:rPr>
        <w:t>36231cd17a6cbeafefeb62a7989d207fa20</w:t>
      </w:r>
    </w:p>
    <w:p>
      <w:r>
        <w:rPr>
          <w:rFonts w:ascii="Consolas" w:hAnsi="Consolas"/>
          <w:sz w:val="18"/>
        </w:rPr>
        <w:t>d6c5f7aaf99857e4d9addd25597c1</w:t>
      </w:r>
    </w:p>
    <w:p>
      <w:r>
        <w:t>相較基準，13,002 列取整價格不同，未取整預測向量的平均絕對差為 29,521.0062 元。這是兩份預測的差，不是真價誤差，也不能稱為改善金額。</w:t>
      </w:r>
    </w:p>
    <w:p>
      <w:pPr>
        <w:pStyle w:val="Heading2"/>
      </w:pPr>
      <w:r>
        <w:t>保存與重現的區別</w:t>
      </w:r>
    </w:p>
    <w:p>
      <w:r>
        <w:t>已保存來源、設定、訓練 metadata、模型重載檢查、各路預測與 CSV 身分證據，支持追溯本次結果。GitHub 提供 v25 文件與必要來源，不包含課程交易表、私有模型或提交 CSV。</w:t>
      </w:r>
    </w:p>
    <w:p>
      <w:r>
        <w:t>尚未完成從原始 train／valid 出發，在乾淨環境訓練全部六模型並產生最終結果的端到端驗證，也沒有經驗證的單一可攜 v25 production CLI。固定 seed 與檔案雜湊不保證不同硬體逐 bytes 重訓相同，更不能認證 Private 最佳。</w:t>
      </w:r>
    </w:p>
    <w:p>
      <w:r>
        <w:br w:type="page"/>
      </w:r>
    </w:p>
    <w:p>
      <w:pPr>
        <w:pStyle w:val="Heading1"/>
      </w:pPr>
      <w:r>
        <w:t>11 結論與證據來源</w:t>
      </w:r>
    </w:p>
    <w:p>
      <w:r>
        <w:t>本研究將六個模型的不同價格表示統一為房屋總價，透過三路融合、可比成交與空間修正，再以中位數形成最終預測。v25 將參考單價神經網路改為日期加權 SmoothL1，在較近兩個主要歷史驗證期間及 Public 評分中有小幅改善，因此選作最終提交方法。</w:t>
      </w:r>
    </w:p>
    <w:p>
      <w:r>
        <w:t>改善不一致：較早一期及最近一期既有建案群仍退步，驗證窗口已反覆使用，重抽樣區間跨零，Private 也未知。本研究的結論限於目前評估證據，不保證任何未來年度、房屋群或隱藏測試部分皆改善。後續若進一步研究，應先固定假設與評估程序，優先檢查新的時間留出資料及多 seed 變異，並補齊乾淨環境重現。這些是後續方向，並非已完成工作。</w:t>
      </w:r>
    </w:p>
    <w:p>
      <w:pPr>
        <w:pStyle w:val="Heading2"/>
      </w:pPr>
      <w:r>
        <w:t>證據來源</w:t>
      </w:r>
    </w:p>
    <w:p>
      <w:r>
        <w:t>以下為專案內保存的資料與程式紀錄。路徑相對於原工作區 C:/NYCU_ML；[1] 至 [6] 對應本文引用。GitHub 整理不改寫原始實驗收據。</w:t>
      </w:r>
    </w:p>
    <w:p>
      <w:pPr>
        <w:keepNext/>
        <w:spacing w:after="40" w:line="252" w:lineRule="auto"/>
      </w:pPr>
      <w:r>
        <w:rPr>
          <w:b/>
        </w:rPr>
        <w:t>[1] 方法與設計</w:t>
      </w:r>
    </w:p>
    <w:p>
      <w:pPr>
        <w:spacing w:after="80" w:line="252" w:lineRule="auto"/>
      </w:pPr>
      <w:r>
        <w:rPr>
          <w:sz w:val="17"/>
        </w:rPr>
        <w:t>reports/v25_method_and_code_20261010.md；deliverables/v22_github/REPORT.md</w:t>
      </w:r>
    </w:p>
    <w:p>
      <w:pPr>
        <w:keepNext/>
        <w:spacing w:after="40" w:line="252" w:lineRule="auto"/>
      </w:pPr>
      <w:r>
        <w:rPr>
          <w:b/>
        </w:rPr>
        <w:t>[2] 訓練及組合來源</w:t>
      </w:r>
    </w:p>
    <w:p>
      <w:pPr>
        <w:spacing w:after="80" w:line="252" w:lineRule="auto"/>
      </w:pPr>
      <w:r>
        <w:rPr>
          <w:sz w:val="17"/>
        </w:rPr>
        <w:t>src/round107_weighted_smooth_train.py；src/round107_final_candidate.py；src/round107_full_release.py；src/round60_recency_price_prior.py</w:t>
      </w:r>
    </w:p>
    <w:p>
      <w:pPr>
        <w:keepNext/>
        <w:spacing w:after="40" w:line="252" w:lineRule="auto"/>
      </w:pPr>
      <w:r>
        <w:rPr>
          <w:b/>
        </w:rPr>
        <w:t>[3] 選定與公開分數</w:t>
      </w:r>
    </w:p>
    <w:p>
      <w:pPr>
        <w:spacing w:after="80" w:line="252" w:lineRule="auto"/>
      </w:pPr>
      <w:r>
        <w:rPr>
          <w:sz w:val="17"/>
        </w:rPr>
        <w:t>outputs/v25_submission_focus_20261010/user_selection.json；outputs/kaggle_feedback/public_v25_user_report_20261010.json；outputs/kaggle_feedback/public_submissions_v19_v24_20260927.json</w:t>
      </w:r>
    </w:p>
    <w:p>
      <w:pPr>
        <w:keepNext/>
        <w:spacing w:after="40" w:line="252" w:lineRule="auto"/>
      </w:pPr>
      <w:r>
        <w:rPr>
          <w:b/>
        </w:rPr>
        <w:t>[4] 歷史驗證結果</w:t>
      </w:r>
    </w:p>
    <w:p>
      <w:pPr>
        <w:spacing w:after="80" w:line="252" w:lineRule="auto"/>
      </w:pPr>
      <w:r>
        <w:rPr>
          <w:sz w:val="17"/>
        </w:rPr>
        <w:t>outputs/round107/results.json；reports/round107_108_report.md；outputs/round113/results.json；reports/round113_report.md</w:t>
      </w:r>
    </w:p>
    <w:p>
      <w:pPr>
        <w:keepNext/>
        <w:spacing w:after="40" w:line="252" w:lineRule="auto"/>
      </w:pPr>
      <w:r>
        <w:rPr>
          <w:b/>
        </w:rPr>
        <w:t>[5] 實際診斷曲線</w:t>
      </w:r>
    </w:p>
    <w:p>
      <w:pPr>
        <w:spacing w:after="80" w:line="252" w:lineRule="auto"/>
      </w:pPr>
      <w:r>
        <w:rPr>
          <w:sz w:val="17"/>
        </w:rPr>
        <w:t>reports/v25_training_curve_20261010.md；outputs/v25_training_curve_20261010/curve.json；outputs/v25_training_curve_20261010/curve_vector_review.json</w:t>
      </w:r>
    </w:p>
    <w:p>
      <w:pPr>
        <w:keepNext/>
        <w:spacing w:after="40" w:line="252" w:lineRule="auto"/>
      </w:pPr>
      <w:r>
        <w:rPr>
          <w:b/>
        </w:rPr>
        <w:t>[6] 全量發行及核對</w:t>
      </w:r>
    </w:p>
    <w:p>
      <w:pPr>
        <w:spacing w:after="80" w:line="252" w:lineRule="auto"/>
      </w:pPr>
      <w:r>
        <w:rPr>
          <w:sz w:val="17"/>
        </w:rPr>
        <w:t>outputs/round107/final/model/training.json；outputs/round107/final/seal.json；outputs/round107/final/release.json；outputs/v25_selection_20261010_audit/public_feedback_supplement_review.json</w:t>
      </w:r>
    </w:p>
    <w:p>
      <w:pPr>
        <w:spacing w:line="252" w:lineRule="auto"/>
      </w:pPr>
      <w:r>
        <w:rPr>
          <w:sz w:val="18"/>
        </w:rPr>
        <w:t>程式與 v25 交付入口：https://github.com/ziyi930108/nycu-house-price-regression（私人儲存庫，需存取權限）。</w:t>
      </w:r>
    </w:p>
    <w:sectPr w:rsidR="00FC693F" w:rsidRPr="0006063C" w:rsidSect="00034616">
      <w:footerReference w:type="default" r:id="rId9"/>
      <w:pgSz w:w="11906" w:h="16838"/>
      <w:pgMar w:top="1134" w:right="1191" w:bottom="1077" w:left="1191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93" w:lineRule="auto"/>
    </w:pPr>
    <w:rPr>
      <w:rFonts w:ascii="Calibri" w:hAnsi="Calibr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 w:eastAsia="Microsoft Jheng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 w:eastAsia="Microsoft JhengHei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Calibri" w:hAnsi="Calibri" w:eastAsia="Microsoft JhengHe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臺灣房屋總價預測 v25 正式報告</dc:title>
  <dc:subject>六模型融合與日期加權 SmoothL1 的時間驗證</dc:subject>
  <dc:creator/>
  <cp:keywords>房屋總價預測, v25, MAE, 時間驗證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