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pPr>
        <w:pStyle w:val="Heading1"/>
      </w:pPr>
      <w:r>
        <w:t>摘要</w:t>
      </w:r>
    </w:p>
    <w:p>
      <w:r>
        <w:t>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pPr>
        <w:pStyle w:val="Heading1"/>
      </w:pPr>
      <w:r>
        <w:t>1 目標與評估指標</w:t>
      </w:r>
    </w:p>
    <w:p>
      <w:r>
        <w:t>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以下金額皆為新臺幣元；差值為此方法減基準，負值表示改善。基準方法僅用於衡量此設計的差異。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此方法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0.5%，並檢查季度與大型群退步幅度。此方法未通過此強條件；它通過的是事前另固定的探索提交條件。後續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此方法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差值此方法減基準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此方法的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優於此方法。這項反例顯示離線改善不能保證平台成績改善，不能只保留支持最終方法的結果。[1][3]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提供相關文件與必要來源，不包含課程交易表、私有模型或提交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