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ind w:left="0" w:firstLine="0"/>
        <w:jc w:val="left"/>
      </w:pPr>
      <w:r>
        <w:rPr>
          <w:rFonts w:ascii="Times New Roman" w:hAnsi="Times New Roman" w:eastAsia="Noto Serif CJK SC"/>
          <w:sz w:val="22"/>
        </w:rPr>
        <w:t>版本号：L001</w:t>
      </w:r>
    </w:p>
    <w:p>
      <w:pPr>
        <w:spacing w:after="0"/>
        <w:ind w:firstLine="0"/>
        <w:jc w:val="left"/>
      </w:pPr>
      <w:r>
        <w:rPr>
          <w:rFonts w:ascii="Times New Roman" w:hAnsi="Times New Roman" w:eastAsia="Noto Serif CJK SC"/>
          <w:sz w:val="22"/>
        </w:rPr>
        <w:t>日期：  2026年10月12日</w:t>
      </w:r>
    </w:p>
    <w:p>
      <w:pPr>
        <w:spacing w:after="0" w:line="240" w:lineRule="auto"/>
      </w:pPr>
    </w:p>
    <w:p>
      <w:pPr>
        <w:spacing w:after="0" w:line="240" w:lineRule="auto"/>
      </w:pPr>
    </w:p>
    <w:p>
      <w:pPr>
        <w:spacing w:after="0" w:line="240" w:lineRule="auto"/>
      </w:pPr>
    </w:p>
    <w:p>
      <w:pPr>
        <w:spacing w:after="0" w:line="240" w:lineRule="auto"/>
      </w:pPr>
    </w:p>
    <w:p>
      <w:pPr>
        <w:spacing w:before="840" w:after="160" w:line="288" w:lineRule="auto"/>
        <w:ind w:firstLine="0"/>
        <w:jc w:val="center"/>
      </w:pPr>
      <w:r>
        <w:rPr>
          <w:rFonts w:ascii="Times New Roman" w:hAnsi="Times New Roman" w:eastAsia="Noto Serif CJK SC"/>
          <w:b w:val="0"/>
          <w:sz w:val="36"/>
        </w:rPr>
        <w:t>独活寄生汤联合经皮椎体后凸成形术（PKP）</w:t>
      </w:r>
    </w:p>
    <w:p>
      <w:pPr>
        <w:spacing w:after="0" w:line="288" w:lineRule="auto"/>
        <w:ind w:firstLine="0"/>
        <w:jc w:val="center"/>
      </w:pPr>
      <w:r>
        <w:rPr>
          <w:rFonts w:ascii="Times New Roman" w:hAnsi="Times New Roman" w:eastAsia="Noto Serif CJK SC"/>
          <w:b w:val="0"/>
          <w:sz w:val="36"/>
        </w:rPr>
        <w:t>治疗骨质疏松性腰椎椎体压缩性骨折的回顾性研究</w:t>
      </w:r>
    </w:p>
    <w:p>
      <w:pPr>
        <w:spacing w:after="0" w:line="240" w:lineRule="auto"/>
      </w:pPr>
    </w:p>
    <w:p>
      <w:pPr>
        <w:spacing w:after="0" w:line="240" w:lineRule="auto"/>
      </w:pPr>
    </w:p>
    <w:p>
      <w:pPr>
        <w:spacing w:after="0" w:line="240" w:lineRule="auto"/>
      </w:pPr>
    </w:p>
    <w:p>
      <w:pPr>
        <w:spacing w:before="160" w:after="0" w:line="324" w:lineRule="auto"/>
        <w:ind w:firstLine="0"/>
        <w:jc w:val="center"/>
      </w:pPr>
      <w:r>
        <w:rPr>
          <w:rFonts w:ascii="Times New Roman" w:hAnsi="Times New Roman" w:eastAsia="Noto Serif CJK SC"/>
          <w:b w:val="0"/>
          <w:sz w:val="60"/>
        </w:rPr>
        <w:t>研</w:t>
        <w:br/>
        <w:t>究</w:t>
        <w:br/>
        <w:t>方</w:t>
        <w:br/>
        <w:t>案</w:t>
      </w:r>
    </w:p>
    <w:p>
      <w:r>
        <w:br w:type="page"/>
      </w:r>
    </w:p>
    <w:p>
      <w:pPr>
        <w:keepNext/>
        <w:spacing w:before="140" w:after="140" w:line="288" w:lineRule="auto"/>
        <w:ind w:firstLine="0"/>
      </w:pPr>
      <w:r>
        <w:rPr>
          <w:rFonts w:ascii="Times New Roman" w:hAnsi="Times New Roman" w:eastAsia="Noto Serif CJK SC"/>
          <w:b/>
          <w:sz w:val="28"/>
        </w:rPr>
        <w:t>一、研究背景与目的</w:t>
      </w:r>
    </w:p>
    <w:p>
      <w:pPr>
        <w:spacing w:before="0" w:after="60" w:line="348" w:lineRule="auto"/>
        <w:ind w:firstLine="480"/>
      </w:pPr>
      <w:r>
        <w:rPr>
          <w:rFonts w:ascii="Times New Roman" w:hAnsi="Times New Roman" w:eastAsia="Noto Serif CJK SC"/>
          <w:b w:val="0"/>
          <w:sz w:val="24"/>
        </w:rPr>
        <w:t>骨质疏松性椎体压缩性骨折（osteoporotic vertebral compression fracture，OVCF）是老年人常见的脆性骨折之一。患者通常因突发腰背痛就诊，翻身、坐起和行走都可能受到影响；部分患者疼痛持续较久，椎体还会出现进一步压缩或后凸畸形。治疗时既要处理骨折带来的疼痛和活动受限，也要关注骨质疏松本身及后续再骨折风险[1-4]。</w:t>
      </w:r>
    </w:p>
    <w:p>
      <w:pPr>
        <w:spacing w:before="0" w:after="60" w:line="348" w:lineRule="auto"/>
        <w:ind w:firstLine="480"/>
      </w:pPr>
      <w:r>
        <w:rPr>
          <w:rFonts w:ascii="Times New Roman" w:hAnsi="Times New Roman" w:eastAsia="Noto Serif CJK SC"/>
          <w:b w:val="0"/>
          <w:sz w:val="24"/>
        </w:rPr>
        <w:t>经皮椎体后凸成形术（percutaneous kyphoplasty，PKP）是临床治疗部分疼痛性OVCF的微创术式。手术通过球囊扩张椎体后注入骨水泥，以增强椎体稳定性，并在适当病例中改善椎体高度和局部后凸。既往研究显示，PKP可改善部分患者的疼痛和活动能力，但术后恢复仍会受到骨折时间、椎体受累情况、基础疾病及后续康复和抗骨质疏松治疗等因素影响[3,5-8]。因此，临床上除了关注手术效果，也需要观察术后疼痛和功能恢复情况。</w:t>
      </w:r>
    </w:p>
    <w:p>
      <w:pPr>
        <w:spacing w:before="0" w:after="60" w:line="348" w:lineRule="auto"/>
        <w:ind w:firstLine="480"/>
      </w:pPr>
      <w:r>
        <w:rPr>
          <w:rFonts w:ascii="Times New Roman" w:hAnsi="Times New Roman" w:eastAsia="Noto Serif CJK SC"/>
          <w:b w:val="0"/>
          <w:sz w:val="24"/>
        </w:rPr>
        <w:t>独活寄生汤出自《备急千金要方》，具有祛风湿、止痹痛、益肝肾、补气血的功用，常用于腰膝疼痛、肢节屈伸不利等证候[9,13]。目前相关研究主要集中在绝经后骨质疏松、膝骨关节炎及椎间盘退变等方面。有系统评价报告了独活寄生汤联合常规治疗用于骨质疏松的研究结果，也有研究从肌骨疾病角度讨论其临床应用和可能机制[9-12]。这些资料为本课题提供了研究线索，但研究对象与PKP术后的腰椎压缩性骨折患者并不相同，仍有必要结合实际病历观察其应用情况。</w:t>
      </w:r>
    </w:p>
    <w:p>
      <w:pPr>
        <w:spacing w:before="0" w:after="60" w:line="348" w:lineRule="auto"/>
        <w:ind w:firstLine="480"/>
      </w:pPr>
      <w:r>
        <w:rPr>
          <w:rFonts w:ascii="Times New Roman" w:hAnsi="Times New Roman" w:eastAsia="Noto Serif CJK SC"/>
          <w:b w:val="0"/>
          <w:sz w:val="24"/>
        </w:rPr>
        <w:t>基于这一临床问题，本研究拟整理既往接受PKP治疗的骨质疏松性腰椎椎体压缩性骨折病例，按术后是否使用独活寄生汤分组，比较两组疼痛恢复情况，并分析病历中能够提取的功能、中医证候、影像学和安全性资料。主要结局设为术后约1个月的VAS疼痛评分，同时记录基线疼痛程度及镇痛药、抗骨质疏松药物等合并治疗，以便在分析时考虑这些因素。</w:t>
      </w:r>
    </w:p>
    <w:p>
      <w:pPr>
        <w:keepNext/>
        <w:spacing w:before="140" w:after="140" w:line="288" w:lineRule="auto"/>
        <w:ind w:firstLine="0"/>
      </w:pPr>
      <w:r>
        <w:rPr>
          <w:rFonts w:ascii="Times New Roman" w:hAnsi="Times New Roman" w:eastAsia="Noto Serif CJK SC"/>
          <w:b/>
          <w:sz w:val="28"/>
        </w:rPr>
        <w:t>二、研究方法</w:t>
      </w:r>
    </w:p>
    <w:p>
      <w:pPr>
        <w:keepNext/>
        <w:spacing w:before="100" w:after="80" w:line="288" w:lineRule="auto"/>
        <w:ind w:firstLine="0"/>
      </w:pPr>
      <w:r>
        <w:rPr>
          <w:rFonts w:ascii="Times New Roman" w:hAnsi="Times New Roman" w:eastAsia="Noto Serif CJK SC"/>
          <w:b/>
          <w:sz w:val="24"/>
        </w:rPr>
        <w:t>1. 总体研究类型</w:t>
      </w:r>
    </w:p>
    <w:p>
      <w:pPr>
        <w:spacing w:before="0" w:after="60" w:line="348" w:lineRule="auto"/>
        <w:ind w:firstLine="480"/>
      </w:pPr>
      <w:r>
        <w:rPr>
          <w:rFonts w:ascii="Times New Roman" w:hAnsi="Times New Roman" w:eastAsia="Noto Serif CJK SC"/>
          <w:b w:val="0"/>
          <w:sz w:val="24"/>
        </w:rPr>
        <w:t>本研究为单中心、基于既往病历资料的回顾性对照研究。研究对象均接受PKP治疗，再按独活寄生汤使用情况分组，回顾并比较术后结局。由于分组依据是既往用药暴露，而不是先按结局选取病例和对照，从研究设计上更接近回顾性队列研究；正式申报时可根据导师意见统一研究设计名称。</w:t>
      </w:r>
    </w:p>
    <w:p>
      <w:pPr>
        <w:spacing w:before="0" w:after="60" w:line="348" w:lineRule="auto"/>
        <w:ind w:firstLine="480"/>
      </w:pPr>
      <w:r>
        <w:rPr>
          <w:rFonts w:ascii="Times New Roman" w:hAnsi="Times New Roman" w:eastAsia="Noto Serif CJK SC"/>
          <w:b w:val="0"/>
          <w:sz w:val="24"/>
        </w:rPr>
        <w:t>病例拟来源于湖北省中医院脊柱相关科室，初步检索时间为2022年1月1日至2025年12月31日。资料来源包括病案首页、住院及门诊电子病历、手术记录、医嘱和处方、检验检查、影像资料及可获得的复诊记录。正式纳入前将先检索病例数量和资料完整情况，再与导师确认最终时间范围。研究仅分析既往诊疗资料，不改变患者原有治疗。</w:t>
      </w:r>
    </w:p>
    <w:p>
      <w:pPr>
        <w:keepNext/>
        <w:spacing w:before="100" w:after="80" w:line="288" w:lineRule="auto"/>
        <w:ind w:firstLine="0"/>
      </w:pPr>
      <w:r>
        <w:rPr>
          <w:rFonts w:ascii="Times New Roman" w:hAnsi="Times New Roman" w:eastAsia="Noto Serif CJK SC"/>
          <w:b/>
          <w:sz w:val="24"/>
        </w:rPr>
        <w:t>2. 对照组设置及依据</w:t>
      </w:r>
    </w:p>
    <w:p>
      <w:pPr>
        <w:spacing w:before="0" w:after="60" w:line="348" w:lineRule="auto"/>
        <w:ind w:firstLine="480"/>
      </w:pPr>
      <w:r>
        <w:rPr>
          <w:rFonts w:ascii="Times New Roman" w:hAnsi="Times New Roman" w:eastAsia="Noto Serif CJK SC"/>
          <w:b w:val="0"/>
          <w:sz w:val="24"/>
        </w:rPr>
        <w:t>两组患者均接受PKP，主要区别是术后病历中是否有独活寄生汤的明确用药记录。整理资料时，同时记录镇痛药、钙剂、维生素D、抗骨质疏松药物及其他合并治疗，避免只比较方药使用情况而忽略其他可能影响疼痛和恢复的因素。</w:t>
      </w:r>
    </w:p>
    <w:p>
      <w:pPr>
        <w:spacing w:after="60" w:line="336" w:lineRule="auto"/>
        <w:ind w:firstLine="480"/>
      </w:pPr>
      <w:r>
        <w:rPr>
          <w:rFonts w:ascii="Times New Roman" w:hAnsi="Times New Roman" w:eastAsia="Noto Serif CJK SC"/>
          <w:b/>
          <w:sz w:val="24"/>
        </w:rPr>
        <w:t>联合用药组：</w:t>
      </w:r>
      <w:r>
        <w:rPr>
          <w:rFonts w:ascii="Times New Roman" w:hAnsi="Times New Roman" w:eastAsia="Noto Serif CJK SC"/>
          <w:b w:val="0"/>
          <w:sz w:val="24"/>
        </w:rPr>
        <w:t>接受PKP治疗，并在手术当日至术后14天内有独活寄生汤处方或明确用药记录。根据原始病历提取方药组成、剂量、频次、开始和停止时间、疗程及辨证加减情况。</w:t>
      </w:r>
    </w:p>
    <w:p>
      <w:pPr>
        <w:spacing w:after="60" w:line="336" w:lineRule="auto"/>
        <w:ind w:firstLine="480"/>
      </w:pPr>
      <w:r>
        <w:rPr>
          <w:rFonts w:ascii="Times New Roman" w:hAnsi="Times New Roman" w:eastAsia="Noto Serif CJK SC"/>
          <w:b/>
          <w:sz w:val="24"/>
        </w:rPr>
        <w:t>对照组：</w:t>
      </w:r>
      <w:r>
        <w:rPr>
          <w:rFonts w:ascii="Times New Roman" w:hAnsi="Times New Roman" w:eastAsia="Noto Serif CJK SC"/>
          <w:b w:val="0"/>
          <w:sz w:val="24"/>
        </w:rPr>
        <w:t>接受PKP治疗，且可核查的住院医嘱、处方及相关复诊资料中未发现独活寄生汤使用记录。若现有资料不足以判断患者是否用药，则标记为暴露状态不明，不直接归入对照组。</w:t>
      </w:r>
    </w:p>
    <w:p>
      <w:pPr>
        <w:spacing w:before="0" w:after="60" w:line="348" w:lineRule="auto"/>
        <w:ind w:firstLine="480"/>
      </w:pPr>
      <w:r>
        <w:rPr>
          <w:rFonts w:ascii="Times New Roman" w:hAnsi="Times New Roman" w:eastAsia="Noto Serif CJK SC"/>
          <w:b w:val="0"/>
          <w:sz w:val="24"/>
        </w:rPr>
        <w:t>本研究不进行随机分组或盲法。两组的比较以既往真实诊疗情况为基础，后续将结合患者年龄、骨折情况、术前疼痛、合并用药及其他重要临床特征进行分析。</w:t>
      </w:r>
    </w:p>
    <w:p>
      <w:pPr>
        <w:keepNext/>
        <w:spacing w:before="100" w:after="80" w:line="288" w:lineRule="auto"/>
        <w:ind w:firstLine="0"/>
      </w:pPr>
      <w:r>
        <w:rPr>
          <w:rFonts w:ascii="Times New Roman" w:hAnsi="Times New Roman" w:eastAsia="Noto Serif CJK SC"/>
          <w:b/>
          <w:sz w:val="24"/>
        </w:rPr>
        <w:t>3. 纳入及排除标准</w:t>
      </w:r>
    </w:p>
    <w:p>
      <w:pPr>
        <w:keepNext/>
        <w:spacing w:before="0" w:after="40" w:line="348" w:lineRule="auto"/>
        <w:ind w:firstLine="0"/>
      </w:pPr>
      <w:r>
        <w:rPr>
          <w:rFonts w:ascii="Times New Roman" w:hAnsi="Times New Roman" w:eastAsia="Noto Serif CJK SC"/>
          <w:b/>
          <w:sz w:val="24"/>
        </w:rPr>
        <w:t>纳入标准：</w:t>
      </w:r>
    </w:p>
    <w:p>
      <w:pPr>
        <w:spacing w:before="0" w:after="40" w:line="324" w:lineRule="auto"/>
        <w:ind w:firstLine="0"/>
      </w:pPr>
      <w:r>
        <w:rPr>
          <w:rFonts w:ascii="Times New Roman" w:hAnsi="Times New Roman" w:eastAsia="Noto Serif CJK SC"/>
          <w:b w:val="0"/>
          <w:sz w:val="24"/>
        </w:rPr>
        <w:t>1）年龄50～85岁，性别不限；</w:t>
      </w:r>
    </w:p>
    <w:p>
      <w:pPr>
        <w:spacing w:before="0" w:after="40" w:line="324" w:lineRule="auto"/>
        <w:ind w:firstLine="0"/>
      </w:pPr>
      <w:r>
        <w:rPr>
          <w:rFonts w:ascii="Times New Roman" w:hAnsi="Times New Roman" w:eastAsia="Noto Serif CJK SC"/>
          <w:b w:val="0"/>
          <w:sz w:val="24"/>
        </w:rPr>
        <w:t>2）诊断为骨质疏松性椎体压缩性骨折，责任椎体位于L1～L5，临床症状与影像学表现相符[1,3,14]；</w:t>
      </w:r>
    </w:p>
    <w:p>
      <w:pPr>
        <w:spacing w:before="0" w:after="40" w:line="324" w:lineRule="auto"/>
        <w:ind w:firstLine="0"/>
      </w:pPr>
      <w:r>
        <w:rPr>
          <w:rFonts w:ascii="Times New Roman" w:hAnsi="Times New Roman" w:eastAsia="Noto Serif CJK SC"/>
          <w:b w:val="0"/>
          <w:sz w:val="24"/>
        </w:rPr>
        <w:t>3）在确定的研究时段内于本院接受PKP治疗，诊断及手术记录完整；</w:t>
      </w:r>
    </w:p>
    <w:p>
      <w:pPr>
        <w:spacing w:before="0" w:after="40" w:line="324" w:lineRule="auto"/>
        <w:ind w:firstLine="0"/>
      </w:pPr>
      <w:r>
        <w:rPr>
          <w:rFonts w:ascii="Times New Roman" w:hAnsi="Times New Roman" w:eastAsia="Noto Serif CJK SC"/>
          <w:b w:val="0"/>
          <w:sz w:val="24"/>
        </w:rPr>
        <w:t>4）有可追溯的独活寄生汤用药记录，或有充分的处方及医嘱信息可判断其用药状态；</w:t>
      </w:r>
    </w:p>
    <w:p>
      <w:pPr>
        <w:spacing w:before="0" w:after="40" w:line="324" w:lineRule="auto"/>
        <w:ind w:firstLine="0"/>
      </w:pPr>
      <w:r>
        <w:rPr>
          <w:rFonts w:ascii="Times New Roman" w:hAnsi="Times New Roman" w:eastAsia="Noto Serif CJK SC"/>
          <w:b w:val="0"/>
          <w:sz w:val="24"/>
        </w:rPr>
        <w:t>5）至少具备可用于主要结局分析的基线VAS及术后约1个月VAS记录。ODI、中医证候和影像学指标按各自资料的完整程度进行分析。</w:t>
      </w:r>
    </w:p>
    <w:p>
      <w:pPr>
        <w:keepNext/>
        <w:spacing w:before="80" w:after="40" w:line="348" w:lineRule="auto"/>
        <w:ind w:firstLine="0"/>
      </w:pPr>
      <w:r>
        <w:rPr>
          <w:rFonts w:ascii="Times New Roman" w:hAnsi="Times New Roman" w:eastAsia="Noto Serif CJK SC"/>
          <w:b/>
          <w:sz w:val="24"/>
        </w:rPr>
        <w:t>排除标准：</w:t>
      </w:r>
    </w:p>
    <w:p>
      <w:pPr>
        <w:spacing w:before="0" w:after="40" w:line="324" w:lineRule="auto"/>
        <w:ind w:firstLine="0"/>
      </w:pPr>
      <w:r>
        <w:rPr>
          <w:rFonts w:ascii="Times New Roman" w:hAnsi="Times New Roman" w:eastAsia="Noto Serif CJK SC"/>
          <w:b w:val="0"/>
          <w:sz w:val="24"/>
        </w:rPr>
        <w:t>1）由肿瘤、感染、结核或高能量创伤等原因造成的椎体骨折；</w:t>
      </w:r>
    </w:p>
    <w:p>
      <w:pPr>
        <w:spacing w:before="0" w:after="40" w:line="324" w:lineRule="auto"/>
        <w:ind w:firstLine="0"/>
      </w:pPr>
      <w:r>
        <w:rPr>
          <w:rFonts w:ascii="Times New Roman" w:hAnsi="Times New Roman" w:eastAsia="Noto Serif CJK SC"/>
          <w:b w:val="0"/>
          <w:sz w:val="24"/>
        </w:rPr>
        <w:t>2）存在明显脊髓或马尾受压、进行性神经功能障碍，或需其他急诊手术处理的脊柱疾病；</w:t>
      </w:r>
    </w:p>
    <w:p>
      <w:pPr>
        <w:spacing w:before="0" w:after="40" w:line="324" w:lineRule="auto"/>
        <w:ind w:firstLine="0"/>
      </w:pPr>
      <w:r>
        <w:rPr>
          <w:rFonts w:ascii="Times New Roman" w:hAnsi="Times New Roman" w:eastAsia="Noto Serif CJK SC"/>
          <w:b w:val="0"/>
          <w:sz w:val="24"/>
        </w:rPr>
        <w:t>3）关键诊断、手术、用药暴露或主要结局资料无法核实，且无法通过既往记录补全；</w:t>
      </w:r>
    </w:p>
    <w:p>
      <w:pPr>
        <w:spacing w:before="0" w:after="40" w:line="324" w:lineRule="auto"/>
        <w:ind w:firstLine="0"/>
      </w:pPr>
      <w:r>
        <w:rPr>
          <w:rFonts w:ascii="Times New Roman" w:hAnsi="Times New Roman" w:eastAsia="Noto Serif CJK SC"/>
          <w:b w:val="0"/>
          <w:sz w:val="24"/>
        </w:rPr>
        <w:t>4）术后同期使用其他针对骨痛或骨代谢的中药复方，且无法从现有资料中区分其影响；</w:t>
      </w:r>
    </w:p>
    <w:p>
      <w:pPr>
        <w:spacing w:before="0" w:after="40" w:line="324" w:lineRule="auto"/>
        <w:ind w:firstLine="0"/>
      </w:pPr>
      <w:r>
        <w:rPr>
          <w:rFonts w:ascii="Times New Roman" w:hAnsi="Times New Roman" w:eastAsia="Noto Serif CJK SC"/>
          <w:b w:val="0"/>
          <w:sz w:val="24"/>
        </w:rPr>
        <w:t>5）存在明显影响疼痛评价的其他疾病，或关键病历记录严重缺失。排除原因将逐例登记。</w:t>
      </w:r>
    </w:p>
    <w:p>
      <w:pPr>
        <w:spacing w:before="0" w:after="60" w:line="348" w:lineRule="auto"/>
        <w:ind w:firstLine="480"/>
      </w:pPr>
      <w:r>
        <w:rPr>
          <w:rFonts w:ascii="Times New Roman" w:hAnsi="Times New Roman" w:eastAsia="Noto Serif CJK SC"/>
          <w:b w:val="0"/>
          <w:sz w:val="24"/>
        </w:rPr>
        <w:t>同一患者在研究时段内多次接受PKP时，原则上只纳入首次符合条件的手术，避免同一患者的多次记录被当作相互独立的病例。</w:t>
      </w:r>
    </w:p>
    <w:p>
      <w:pPr>
        <w:keepNext/>
        <w:spacing w:before="100" w:after="80" w:line="288" w:lineRule="auto"/>
        <w:ind w:firstLine="0"/>
      </w:pPr>
      <w:r>
        <w:rPr>
          <w:rFonts w:ascii="Times New Roman" w:hAnsi="Times New Roman" w:eastAsia="Noto Serif CJK SC"/>
          <w:b/>
          <w:sz w:val="24"/>
        </w:rPr>
        <w:t>4. 样本量估算</w:t>
      </w:r>
    </w:p>
    <w:p>
      <w:pPr>
        <w:spacing w:before="0" w:after="60" w:line="348" w:lineRule="auto"/>
        <w:ind w:firstLine="480"/>
      </w:pPr>
      <w:r>
        <w:rPr>
          <w:rFonts w:ascii="Times New Roman" w:hAnsi="Times New Roman" w:eastAsia="Noto Serif CJK SC"/>
          <w:b w:val="0"/>
          <w:sz w:val="24"/>
        </w:rPr>
        <w:t>本研究不按随机对照试验的方式预先设定样本量，计划连续筛选研究时段内所有符合条件的病例。正式提取前先进行病历预检，重点了解PKP病例总数、两组可能的病例数，以及独活寄生汤用药记录和术后1个月VAS的完整程度。</w:t>
      </w:r>
    </w:p>
    <w:p>
      <w:pPr>
        <w:spacing w:before="0" w:after="60" w:line="348" w:lineRule="auto"/>
        <w:ind w:firstLine="480"/>
      </w:pPr>
      <w:r>
        <w:rPr>
          <w:rFonts w:ascii="Times New Roman" w:hAnsi="Times New Roman" w:eastAsia="Noto Serif CJK SC"/>
          <w:b w:val="0"/>
          <w:sz w:val="24"/>
        </w:rPr>
        <w:t>最终样本量以检索后符合标准的实际病例数为准。研究结果中将报告筛选过程、两组人数、主要结局可用人数及缺失比例。如果病例数不足以支持包含较多变量的模型，将减少调整变量并将复杂分析作为探索性结果，不用预设人数代替真实病例。</w:t>
      </w:r>
    </w:p>
    <w:p>
      <w:pPr>
        <w:keepNext/>
        <w:spacing w:before="100" w:after="80" w:line="288" w:lineRule="auto"/>
        <w:ind w:firstLine="0"/>
      </w:pPr>
      <w:r>
        <w:rPr>
          <w:rFonts w:ascii="Times New Roman" w:hAnsi="Times New Roman" w:eastAsia="Noto Serif CJK SC"/>
          <w:b/>
          <w:sz w:val="24"/>
        </w:rPr>
        <w:t>5. 分组及方法</w:t>
      </w:r>
    </w:p>
    <w:p>
      <w:pPr>
        <w:spacing w:after="60" w:line="336" w:lineRule="auto"/>
        <w:ind w:firstLine="480"/>
      </w:pPr>
      <w:r>
        <w:rPr>
          <w:rFonts w:ascii="Times New Roman" w:hAnsi="Times New Roman" w:eastAsia="Noto Serif CJK SC"/>
          <w:b/>
          <w:sz w:val="24"/>
        </w:rPr>
        <w:t>联合用药组：</w:t>
      </w:r>
      <w:r>
        <w:rPr>
          <w:rFonts w:ascii="Times New Roman" w:hAnsi="Times New Roman" w:eastAsia="Noto Serif CJK SC"/>
          <w:b w:val="0"/>
          <w:sz w:val="24"/>
        </w:rPr>
        <w:t>PKP手术当日至术后14天内有独活寄生汤处方或用药记录；具体方药、剂量和疗程以病历为准。</w:t>
      </w:r>
    </w:p>
    <w:p>
      <w:pPr>
        <w:spacing w:after="60" w:line="336" w:lineRule="auto"/>
        <w:ind w:firstLine="480"/>
      </w:pPr>
      <w:r>
        <w:rPr>
          <w:rFonts w:ascii="Times New Roman" w:hAnsi="Times New Roman" w:eastAsia="Noto Serif CJK SC"/>
          <w:b/>
          <w:sz w:val="24"/>
        </w:rPr>
        <w:t>对照组：</w:t>
      </w:r>
      <w:r>
        <w:rPr>
          <w:rFonts w:ascii="Times New Roman" w:hAnsi="Times New Roman" w:eastAsia="Noto Serif CJK SC"/>
          <w:b w:val="0"/>
          <w:sz w:val="24"/>
        </w:rPr>
        <w:t>接受PKP及常规术后治疗，已核查的用药记录中未见独活寄生汤使用。</w:t>
      </w:r>
    </w:p>
    <w:p>
      <w:pPr>
        <w:spacing w:after="60" w:line="336" w:lineRule="auto"/>
        <w:ind w:firstLine="480"/>
      </w:pPr>
      <w:r>
        <w:rPr>
          <w:rFonts w:ascii="Times New Roman" w:hAnsi="Times New Roman" w:eastAsia="Noto Serif CJK SC"/>
          <w:b/>
          <w:sz w:val="24"/>
        </w:rPr>
        <w:t>手术资料：</w:t>
      </w:r>
      <w:r>
        <w:rPr>
          <w:rFonts w:ascii="Times New Roman" w:hAnsi="Times New Roman" w:eastAsia="Noto Serif CJK SC"/>
          <w:b w:val="0"/>
          <w:sz w:val="24"/>
        </w:rPr>
        <w:t>不另行规定或干预手术操作，主要从手术记录中提取手术日期、责任椎体、手术节段、入路、骨水泥用量、手术时长及并发症等信息。镇痛、康复和抗骨质疏松治疗也按原始病历记录整理。</w:t>
      </w:r>
    </w:p>
    <w:p>
      <w:pPr>
        <w:spacing w:after="60" w:line="336" w:lineRule="auto"/>
        <w:ind w:firstLine="480"/>
      </w:pPr>
      <w:r>
        <w:rPr>
          <w:rFonts w:ascii="Times New Roman" w:hAnsi="Times New Roman" w:eastAsia="Noto Serif CJK SC"/>
          <w:b/>
          <w:sz w:val="24"/>
        </w:rPr>
        <w:t>基线资料：</w:t>
      </w:r>
      <w:r>
        <w:rPr>
          <w:rFonts w:ascii="Times New Roman" w:hAnsi="Times New Roman" w:eastAsia="Noto Serif CJK SC"/>
          <w:b w:val="0"/>
          <w:sz w:val="24"/>
        </w:rPr>
        <w:t>包括年龄、性别、体重指数（如有）、骨折发生时间、责任椎体和椎体数量、椎体压缩程度、MRI骨髓水肿或其他相关影像表现、骨密度资料、合并症、基线VAS以及镇痛药和抗骨质疏松药物使用情况。</w:t>
      </w:r>
    </w:p>
    <w:p>
      <w:pPr>
        <w:keepNext/>
        <w:spacing w:before="100" w:after="80" w:line="288" w:lineRule="auto"/>
        <w:ind w:firstLine="0"/>
      </w:pPr>
      <w:r>
        <w:rPr>
          <w:rFonts w:ascii="Times New Roman" w:hAnsi="Times New Roman" w:eastAsia="Noto Serif CJK SC"/>
          <w:b/>
          <w:sz w:val="24"/>
        </w:rPr>
        <w:t>6. 观察指标</w:t>
      </w:r>
    </w:p>
    <w:p>
      <w:pPr>
        <w:spacing w:after="60" w:line="336" w:lineRule="auto"/>
        <w:ind w:firstLine="480"/>
      </w:pPr>
      <w:r>
        <w:rPr>
          <w:rFonts w:ascii="Times New Roman" w:hAnsi="Times New Roman" w:eastAsia="Noto Serif CJK SC"/>
          <w:b/>
          <w:sz w:val="24"/>
        </w:rPr>
        <w:t>主要结局：</w:t>
      </w:r>
      <w:r>
        <w:rPr>
          <w:rFonts w:ascii="Times New Roman" w:hAnsi="Times New Roman" w:eastAsia="Noto Serif CJK SC"/>
          <w:b w:val="0"/>
          <w:sz w:val="24"/>
        </w:rPr>
        <w:t>术后约1个月的VAS疼痛评分。将术后21～45天内最接近术后第30天的有效记录作为该时间点评分，并优先采用调整基线VAS后的组间比较；基线与术后评分的变化值作为补充分析。</w:t>
      </w:r>
    </w:p>
    <w:p>
      <w:pPr>
        <w:spacing w:after="60" w:line="336" w:lineRule="auto"/>
        <w:ind w:firstLine="480"/>
      </w:pPr>
      <w:r>
        <w:rPr>
          <w:rFonts w:ascii="Times New Roman" w:hAnsi="Times New Roman" w:eastAsia="Noto Serif CJK SC"/>
          <w:b/>
          <w:sz w:val="24"/>
        </w:rPr>
        <w:t>次要结局：</w:t>
      </w:r>
      <w:r>
        <w:rPr>
          <w:rFonts w:ascii="Times New Roman" w:hAnsi="Times New Roman" w:eastAsia="Noto Serif CJK SC"/>
          <w:b w:val="0"/>
          <w:sz w:val="24"/>
        </w:rPr>
        <w:t>病历中可获得的其他时间点VAS、ODI、中医证候积分、伤椎前缘高度或椎体高度恢复情况、局部后凸Cobb角、住院时间、再就诊或再入院，以及新发椎体骨折等。ODI和中医证候积分仅在病历中有实际记录且记录方式可比时进行组间分析。</w:t>
      </w:r>
    </w:p>
    <w:p>
      <w:pPr>
        <w:spacing w:after="60" w:line="336" w:lineRule="auto"/>
        <w:ind w:firstLine="480"/>
      </w:pPr>
      <w:r>
        <w:rPr>
          <w:rFonts w:ascii="Times New Roman" w:hAnsi="Times New Roman" w:eastAsia="Noto Serif CJK SC"/>
          <w:b/>
          <w:sz w:val="24"/>
        </w:rPr>
        <w:t>安全性资料：</w:t>
      </w:r>
      <w:r>
        <w:rPr>
          <w:rFonts w:ascii="Times New Roman" w:hAnsi="Times New Roman" w:eastAsia="Noto Serif CJK SC"/>
          <w:b w:val="0"/>
          <w:sz w:val="24"/>
        </w:rPr>
        <w:t>主要提取病历明确记录的独活寄生汤相关不适、过敏反应、肝肾功能异常，以及骨水泥渗漏、神经损伤、感染、邻近椎体骨折和再入院等事件。若病历没有提及某项事件，将记录为“未见相关记载”，不直接等同于确定未发生。</w:t>
      </w:r>
    </w:p>
    <w:p>
      <w:pPr>
        <w:spacing w:before="0" w:after="60" w:line="348" w:lineRule="auto"/>
        <w:ind w:firstLine="480"/>
      </w:pPr>
      <w:r>
        <w:rPr>
          <w:rFonts w:ascii="Times New Roman" w:hAnsi="Times New Roman" w:eastAsia="Noto Serif CJK SC"/>
          <w:b w:val="0"/>
          <w:sz w:val="24"/>
        </w:rPr>
        <w:t>拟观察术前或入院基线、术后住院期间和术后约1个月的资料；其他随访时间点按病例记录情况整理。正式提取前将先核实VAS记录分布，并确定统一的时间窗。如果术后1个月VAS资料不足，应在分析开始前与导师讨论是否调整主要结局。</w:t>
      </w:r>
    </w:p>
    <w:p>
      <w:pPr>
        <w:keepNext/>
        <w:spacing w:before="140" w:after="140" w:line="288" w:lineRule="auto"/>
        <w:ind w:firstLine="0"/>
      </w:pPr>
      <w:r>
        <w:rPr>
          <w:rFonts w:ascii="Times New Roman" w:hAnsi="Times New Roman" w:eastAsia="Noto Serif CJK SC"/>
          <w:b/>
          <w:sz w:val="28"/>
        </w:rPr>
        <w:t>三、数据收集与缺失数据的处理</w:t>
      </w:r>
    </w:p>
    <w:p>
      <w:pPr>
        <w:keepNext/>
        <w:spacing w:before="100" w:after="80" w:line="288" w:lineRule="auto"/>
        <w:ind w:firstLine="0"/>
      </w:pPr>
      <w:r>
        <w:rPr>
          <w:rFonts w:ascii="Times New Roman" w:hAnsi="Times New Roman" w:eastAsia="Noto Serif CJK SC"/>
          <w:b/>
          <w:sz w:val="24"/>
        </w:rPr>
        <w:t>1. 数据收集</w:t>
      </w:r>
    </w:p>
    <w:p>
      <w:pPr>
        <w:spacing w:before="0" w:after="60" w:line="348" w:lineRule="auto"/>
        <w:ind w:firstLine="480"/>
      </w:pPr>
      <w:r>
        <w:rPr>
          <w:rFonts w:ascii="Times New Roman" w:hAnsi="Times New Roman" w:eastAsia="Noto Serif CJK SC"/>
          <w:b w:val="0"/>
          <w:sz w:val="24"/>
        </w:rPr>
        <w:t>按统一的数据提取表逐例整理资料，变量包括基本人口学信息、骨折和影像特征、手术情况、独活寄生汤处方、合并用药及随访结局。每个变量都注明定义、单位、来源和对应时间。主要结局、用药分组和关键混杂因素建议由两名研究人员核对；若记录不一致，回查原始病历后修订。</w:t>
      </w:r>
    </w:p>
    <w:p>
      <w:pPr>
        <w:spacing w:before="0" w:after="60" w:line="348" w:lineRule="auto"/>
        <w:ind w:firstLine="480"/>
      </w:pPr>
      <w:r>
        <w:rPr>
          <w:rFonts w:ascii="Times New Roman" w:hAnsi="Times New Roman" w:eastAsia="Noto Serif CJK SC"/>
          <w:b w:val="0"/>
          <w:sz w:val="24"/>
        </w:rPr>
        <w:t>影像学指标按同一测量规则复核，并记录检查日期和测量者；条件允许时由另一名研究人员再次测量。分析数据库使用研究编号，不录入姓名、身份证号等直接身份信息。数据整理过程中检查重复病例、时间顺序错误、异常值和前后矛盾的记录，并保留必要的核查说明。 数据整理和结果报告参考STROBE观察性研究报告规范，说明病例筛选、变量定义、缺失情况和统计分析过程[15]。</w:t>
      </w:r>
    </w:p>
    <w:p>
      <w:pPr>
        <w:keepNext/>
        <w:spacing w:before="100" w:after="80" w:line="288" w:lineRule="auto"/>
        <w:ind w:firstLine="0"/>
      </w:pPr>
      <w:r>
        <w:rPr>
          <w:rFonts w:ascii="Times New Roman" w:hAnsi="Times New Roman" w:eastAsia="Noto Serif CJK SC"/>
          <w:b/>
          <w:sz w:val="24"/>
        </w:rPr>
        <w:t>2. 缺失数据的处理</w:t>
      </w:r>
    </w:p>
    <w:p>
      <w:pPr>
        <w:spacing w:before="0" w:after="60" w:line="348" w:lineRule="auto"/>
        <w:ind w:firstLine="480"/>
      </w:pPr>
      <w:r>
        <w:rPr>
          <w:rFonts w:ascii="Times New Roman" w:hAnsi="Times New Roman" w:eastAsia="Noto Serif CJK SC"/>
          <w:b w:val="0"/>
          <w:sz w:val="24"/>
        </w:rPr>
        <w:t>先统计各变量的缺失比例和缺失情况，再通过住院记录、处方、门诊记录及影像系统尽可能补查。术后1个月VAS缺失的病例不纳入该主要结局的完整病例分析，但仍计入筛选流程，并说明缺失原因。用药状态不明者不并入未用药组。</w:t>
      </w:r>
    </w:p>
    <w:p>
      <w:pPr>
        <w:spacing w:before="0" w:after="60" w:line="348" w:lineRule="auto"/>
        <w:ind w:firstLine="480"/>
      </w:pPr>
      <w:r>
        <w:rPr>
          <w:rFonts w:ascii="Times New Roman" w:hAnsi="Times New Roman" w:eastAsia="Noto Serif CJK SC"/>
          <w:b w:val="0"/>
          <w:sz w:val="24"/>
        </w:rPr>
        <w:t>协变量缺失时，根据缺失比例、样本量和缺失特点决定采用完整病例分析或多重插补，并报告所采用的方法。若开展多重插补，将说明插补变量和模型设定，并与完整病例分析结果进行比较。对于用药暴露和主要结局，不以推测值填补。</w:t>
      </w:r>
    </w:p>
    <w:p>
      <w:pPr>
        <w:keepNext/>
        <w:spacing w:before="100" w:after="80" w:line="288" w:lineRule="auto"/>
        <w:ind w:firstLine="0"/>
      </w:pPr>
      <w:r>
        <w:rPr>
          <w:rFonts w:ascii="Times New Roman" w:hAnsi="Times New Roman" w:eastAsia="Noto Serif CJK SC"/>
          <w:b/>
          <w:sz w:val="24"/>
        </w:rPr>
        <w:t>3. 伦理管理与数据安全</w:t>
      </w:r>
    </w:p>
    <w:p>
      <w:pPr>
        <w:spacing w:before="0" w:after="60" w:line="348" w:lineRule="auto"/>
        <w:ind w:firstLine="480"/>
      </w:pPr>
      <w:r>
        <w:rPr>
          <w:rFonts w:ascii="Times New Roman" w:hAnsi="Times New Roman" w:eastAsia="Noto Serif CJK SC"/>
          <w:b w:val="0"/>
          <w:sz w:val="24"/>
        </w:rPr>
        <w:t>研究启动前按医院要求提交伦理审查和病历数据使用申请。是否可以豁免知情同意由伦理委员会决定。研究仅使用获批范围内的既往资料，不改变诊疗过程；分析数据去标识化保存，仅授权研究人员可以访问，研究结果以汇总方式报告。</w:t>
      </w:r>
    </w:p>
    <w:p>
      <w:pPr>
        <w:keepNext/>
        <w:spacing w:before="140" w:after="140" w:line="288" w:lineRule="auto"/>
        <w:ind w:firstLine="0"/>
      </w:pPr>
      <w:r>
        <w:rPr>
          <w:rFonts w:ascii="Times New Roman" w:hAnsi="Times New Roman" w:eastAsia="Noto Serif CJK SC"/>
          <w:b/>
          <w:sz w:val="28"/>
        </w:rPr>
        <w:t>四、统计学方法</w:t>
      </w:r>
    </w:p>
    <w:p>
      <w:pPr>
        <w:spacing w:before="0" w:after="60" w:line="348" w:lineRule="auto"/>
        <w:ind w:firstLine="480"/>
      </w:pPr>
      <w:r>
        <w:rPr>
          <w:rFonts w:ascii="Times New Roman" w:hAnsi="Times New Roman" w:eastAsia="Noto Serif CJK SC"/>
          <w:b w:val="0"/>
          <w:sz w:val="24"/>
        </w:rPr>
        <w:t>使用SPSS 26.0或课题组确定的统计软件分析。先描述病例筛选过程、两组基线特征和各项结局的有效例数。连续变量经分布检查后，近似正态分布者以均数±标准差表示，组间采用独立样本t检验；偏态分布者以中位数和四分位数表示，采用Mann–Whitney U检验。分类变量以例数和百分比表示，根据理论频数采用χ²检验或Fisher确切概率法。</w:t>
      </w:r>
    </w:p>
    <w:p>
      <w:pPr>
        <w:spacing w:before="0" w:after="60" w:line="348" w:lineRule="auto"/>
        <w:ind w:firstLine="480"/>
      </w:pPr>
      <w:r>
        <w:rPr>
          <w:rFonts w:ascii="Times New Roman" w:hAnsi="Times New Roman" w:eastAsia="Noto Serif CJK SC"/>
          <w:b w:val="0"/>
          <w:sz w:val="24"/>
        </w:rPr>
        <w:t>主要结局为术后约1个月VAS评分。分析时优先调整基线VAS，并根据病例数量和资料完整程度纳入年龄、性别、骨折发生时间、责任椎体、椎体压缩程度、合并症、镇痛药及抗骨质疏松治疗等临床因素。报告组间效应值、95%置信区间和双侧P值；如模型条件不满足，将根据数据特点采用合适的替代方法。</w:t>
      </w:r>
    </w:p>
    <w:p>
      <w:pPr>
        <w:spacing w:before="0" w:after="60" w:line="348" w:lineRule="auto"/>
        <w:ind w:firstLine="480"/>
      </w:pPr>
      <w:r>
        <w:rPr>
          <w:rFonts w:ascii="Times New Roman" w:hAnsi="Times New Roman" w:eastAsia="Noto Serif CJK SC"/>
          <w:b w:val="0"/>
          <w:sz w:val="24"/>
        </w:rPr>
        <w:t>其他连续结局根据分布选择组间检验或回归模型，二分类结局在事件数允许时采用Logistic回归。若样本量足够且两组差异较明显，可进一步考虑倾向评分方法作为补充分析。必要时开展不同用药定义或不同时间窗的敏感性分析。统计判断采用双侧检验，以P＜0.05作为参考，同时结合效应大小和置信区间解释结果。</w:t>
      </w:r>
    </w:p>
    <w:p>
      <w:pPr>
        <w:keepNext/>
        <w:spacing w:before="140" w:after="140" w:line="288" w:lineRule="auto"/>
        <w:ind w:firstLine="0"/>
      </w:pPr>
      <w:r>
        <w:rPr>
          <w:rFonts w:ascii="Times New Roman" w:hAnsi="Times New Roman" w:eastAsia="Noto Serif CJK SC"/>
          <w:b/>
          <w:sz w:val="28"/>
        </w:rPr>
        <w:t>五、预期结果与讨论</w:t>
      </w:r>
    </w:p>
    <w:p>
      <w:pPr>
        <w:spacing w:before="0" w:after="60" w:line="348" w:lineRule="auto"/>
        <w:ind w:firstLine="480"/>
      </w:pPr>
      <w:r>
        <w:rPr>
          <w:rFonts w:ascii="Times New Roman" w:hAnsi="Times New Roman" w:eastAsia="Noto Serif CJK SC"/>
          <w:b w:val="0"/>
          <w:sz w:val="24"/>
        </w:rPr>
        <w:t>研究完成后，将比较两组患者术后约1个月的疼痛评分，并整理可获得的腰椎功能、中医证候、影像学和安全性资料。分析重点是独活寄生汤的使用与术后恢复之间是否存在关联，以及这种关联在调整基线疼痛和其他临床因素后是否仍然存在。</w:t>
      </w:r>
    </w:p>
    <w:p>
      <w:pPr>
        <w:spacing w:before="0" w:after="60" w:line="348" w:lineRule="auto"/>
        <w:ind w:firstLine="480"/>
      </w:pPr>
      <w:r>
        <w:rPr>
          <w:rFonts w:ascii="Times New Roman" w:hAnsi="Times New Roman" w:eastAsia="Noto Serif CJK SC"/>
          <w:b w:val="0"/>
          <w:sz w:val="24"/>
        </w:rPr>
        <w:t>如果联合用药组的疼痛或功能结局较好，结果可为进一步设计前瞻性研究提供依据；如果两组差异不明显，同样可以帮助判断当前病历资料能回答哪些问题、后续临床记录还需要完善哪些内容。讨论时将结合骨折自然恢复、PKP本身、镇痛药、康复和抗骨质疏松治疗等因素解释结果。</w:t>
      </w:r>
    </w:p>
    <w:p>
      <w:pPr>
        <w:spacing w:before="0" w:after="60" w:line="348" w:lineRule="auto"/>
        <w:ind w:firstLine="480"/>
      </w:pPr>
      <w:r>
        <w:rPr>
          <w:rFonts w:ascii="Times New Roman" w:hAnsi="Times New Roman" w:eastAsia="Noto Serif CJK SC"/>
          <w:b w:val="0"/>
          <w:sz w:val="24"/>
        </w:rPr>
        <w:t>本研究利用既往临床资料，重点考察一个具体问题：在接受PKP的患者中，术后使用独活寄生汤是否与疼痛和功能恢复有关。由于用药并非随机分配，研究中会记录两组治疗前的主要差异，并对病历中能够获得的重要因素进行调整；用药记录和随访资料不完整的情况也会如实报告。</w:t>
      </w:r>
    </w:p>
    <w:p>
      <w:pPr>
        <w:keepNext/>
        <w:spacing w:before="140" w:after="140" w:line="288" w:lineRule="auto"/>
        <w:ind w:firstLine="0"/>
      </w:pPr>
      <w:r>
        <w:rPr>
          <w:rFonts w:ascii="Times New Roman" w:hAnsi="Times New Roman" w:eastAsia="Noto Serif CJK SC"/>
          <w:b/>
          <w:sz w:val="28"/>
        </w:rPr>
        <w:t>参考文献</w:t>
      </w:r>
    </w:p>
    <w:p>
      <w:pPr>
        <w:spacing w:after="10" w:line="240" w:lineRule="auto"/>
        <w:ind w:left="114" w:firstLine="0"/>
      </w:pPr>
      <w:r>
        <w:rPr>
          <w:rFonts w:ascii="Times New Roman" w:hAnsi="Times New Roman" w:eastAsia="Noto Serif CJK SC"/>
          <w:sz w:val="17"/>
        </w:rPr>
        <w:t>[1] 丁悦, 张嘉, 岳华, 等. 骨质疏松性椎体压缩性骨折诊疗与管理专家共识[J]. 中华骨质疏松和骨矿盐疾病杂志, 2018, 11(5): 425-437. DOI:10.3969/j.issn.1674-2591.2018.05.001.</w:t>
      </w:r>
    </w:p>
    <w:p>
      <w:pPr>
        <w:spacing w:after="10" w:line="240" w:lineRule="auto"/>
        <w:ind w:left="114" w:firstLine="0"/>
      </w:pPr>
      <w:r>
        <w:rPr>
          <w:rFonts w:ascii="Times New Roman" w:hAnsi="Times New Roman" w:eastAsia="Noto Serif CJK SC"/>
          <w:sz w:val="17"/>
        </w:rPr>
        <w:t>[2] 中华医学会骨质疏松和骨矿盐疾病分会. 原发性骨质疏松症诊疗指南（2022）[J]. 中华骨质疏松和骨矿盐疾病杂志, 2022, 15(6): 573-611. DOI:10.3969/j.issn.1674-2591.2022.06.001.</w:t>
      </w:r>
    </w:p>
    <w:p>
      <w:pPr>
        <w:spacing w:after="10" w:line="240" w:lineRule="auto"/>
        <w:ind w:left="114" w:firstLine="0"/>
      </w:pPr>
      <w:r>
        <w:rPr>
          <w:rFonts w:ascii="Times New Roman" w:hAnsi="Times New Roman" w:eastAsia="Noto Serif CJK SC"/>
          <w:sz w:val="17"/>
        </w:rPr>
        <w:t>[3] 杨惠林, 毛海青, 孟斌, 等. 骨质疏松性椎体压缩骨折诊治专家共识（2021版）[J]. 中华医学杂志, 2021, 101(41): 3371-3379.</w:t>
      </w:r>
    </w:p>
    <w:p>
      <w:pPr>
        <w:spacing w:after="10" w:line="240" w:lineRule="auto"/>
        <w:ind w:left="114" w:firstLine="0"/>
      </w:pPr>
      <w:r>
        <w:rPr>
          <w:rFonts w:ascii="Times New Roman" w:hAnsi="Times New Roman" w:eastAsia="Noto Serif CJK SC"/>
          <w:sz w:val="17"/>
        </w:rPr>
        <w:t>[4] 中华医学会骨质疏松和骨矿盐疾病分会, 中华医学会骨科学分会. 骨质疏松性骨折后再骨折防治专家共识[J]. 中华骨科杂志, 2022, 42(17): 1101-1111.</w:t>
      </w:r>
    </w:p>
    <w:p>
      <w:pPr>
        <w:spacing w:after="10" w:line="240" w:lineRule="auto"/>
        <w:ind w:left="114" w:firstLine="0"/>
      </w:pPr>
      <w:r>
        <w:rPr>
          <w:rFonts w:ascii="Times New Roman" w:hAnsi="Times New Roman" w:eastAsia="Noto Serif CJK SC"/>
          <w:sz w:val="17"/>
        </w:rPr>
        <w:t>[5] Wardlaw D, Cummings SR, Van Meirhaeghe J, et al. Efficacy and safety of balloon kyphoplasty compared with non-surgical care for vertebral compression fracture (FREE): a randomised controlled trial[J]. The Lancet, 2009, 373(9668): 1016-1024. DOI:10.1016/S0140-6736(09)60010-6.</w:t>
      </w:r>
    </w:p>
    <w:p>
      <w:pPr>
        <w:spacing w:after="10" w:line="240" w:lineRule="auto"/>
        <w:ind w:left="114" w:firstLine="0"/>
      </w:pPr>
      <w:r>
        <w:rPr>
          <w:rFonts w:ascii="Times New Roman" w:hAnsi="Times New Roman" w:eastAsia="Noto Serif CJK SC"/>
          <w:sz w:val="17"/>
        </w:rPr>
        <w:t>[6] Prost S, Pesenti S, Fuentes S, et al. Treatment of osteoporotic vertebral fractures[J]. Orthopaedics &amp; Traumatology: Surgery &amp; Research, 2021, 107(1S): 102779. DOI:10.1016/j.otsr.2020.102779.</w:t>
      </w:r>
    </w:p>
    <w:p>
      <w:pPr>
        <w:spacing w:after="10" w:line="240" w:lineRule="auto"/>
        <w:ind w:left="114" w:firstLine="0"/>
      </w:pPr>
      <w:r>
        <w:rPr>
          <w:rFonts w:ascii="Times New Roman" w:hAnsi="Times New Roman" w:eastAsia="Noto Serif CJK SC"/>
          <w:sz w:val="17"/>
        </w:rPr>
        <w:t>[7] Spiegl U, Bork H, Grüninger S, et al. Osteoporotic fractures of the thoracic and lumbar vertebrae: diagnosis and conservative treatment[J]. Deutsches Ärzteblatt International, 2021, 118(40): 670-677. DOI:10.3238/arztebl.m2021.0295.</w:t>
      </w:r>
    </w:p>
    <w:p>
      <w:pPr>
        <w:spacing w:after="10" w:line="240" w:lineRule="auto"/>
        <w:ind w:left="114" w:firstLine="0"/>
      </w:pPr>
      <w:r>
        <w:rPr>
          <w:rFonts w:ascii="Times New Roman" w:hAnsi="Times New Roman" w:eastAsia="Noto Serif CJK SC"/>
          <w:sz w:val="17"/>
        </w:rPr>
        <w:t>[8] National Osteoporosis Guideline Group. Clinical guideline for the prevention and treatment of osteoporosis: NOGG 2024[EB/OL]. 2024. https://www.nogg.org.uk/full-guideline.</w:t>
      </w:r>
    </w:p>
    <w:p>
      <w:pPr>
        <w:spacing w:after="10" w:line="240" w:lineRule="auto"/>
        <w:ind w:left="114" w:firstLine="0"/>
      </w:pPr>
      <w:r>
        <w:rPr>
          <w:rFonts w:ascii="Times New Roman" w:hAnsi="Times New Roman" w:eastAsia="Noto Serif CJK SC"/>
          <w:sz w:val="17"/>
        </w:rPr>
        <w:t>[9] Li J, Wang W, Feng G, et al. Efficacy and Safety of Duhuo Jisheng Decoction for Postmenopausal Osteoporosis: A Systematic Review and Meta-Analysis[J]. Evidence-Based Complementary and Alternative Medicine, 2020: 6957825. DOI:10.1155/2020/6957825.</w:t>
      </w:r>
    </w:p>
    <w:p>
      <w:pPr>
        <w:spacing w:after="10" w:line="240" w:lineRule="auto"/>
        <w:ind w:left="114" w:firstLine="0"/>
      </w:pPr>
      <w:r>
        <w:rPr>
          <w:rFonts w:ascii="Times New Roman" w:hAnsi="Times New Roman" w:eastAsia="Noto Serif CJK SC"/>
          <w:sz w:val="17"/>
        </w:rPr>
        <w:t>[10] Huang CY, Cheng CJ, Chiou WF, et al. Efficacy and safety of Duhuo Jisheng Decoction add-on bisphosphonate medications in patients with osteoporosis: A meta-analysis of randomized controlled trials[J]. Journal of Ethnopharmacology, 2022, 283: 114732. DOI:10.1016/j.jep.2021.114732.</w:t>
      </w:r>
    </w:p>
    <w:p>
      <w:pPr>
        <w:spacing w:after="10" w:line="240" w:lineRule="auto"/>
        <w:ind w:left="114" w:firstLine="0"/>
      </w:pPr>
      <w:r>
        <w:rPr>
          <w:rFonts w:ascii="Times New Roman" w:hAnsi="Times New Roman" w:eastAsia="Noto Serif CJK SC"/>
          <w:sz w:val="17"/>
        </w:rPr>
        <w:t>[11] Zhang W, Wang S, Zhang R, et al. Evidence of Chinese herbal medicine Duhuo Jisheng decoction for knee osteoarthritis: a systematic review of randomised clinical trials[J]. BMJ Open, 2016, 6(1): e008973. DOI:10.1136/bmjopen-2015-008973.</w:t>
      </w:r>
    </w:p>
    <w:p>
      <w:pPr>
        <w:spacing w:after="10" w:line="240" w:lineRule="auto"/>
        <w:ind w:left="114" w:firstLine="0"/>
      </w:pPr>
      <w:r>
        <w:rPr>
          <w:rFonts w:ascii="Times New Roman" w:hAnsi="Times New Roman" w:eastAsia="Noto Serif CJK SC"/>
          <w:sz w:val="17"/>
        </w:rPr>
        <w:t>[12] Zhou D, Song C, Mei Y, et al. A review of Duhuo Jisheng decoction mechanisms in intervertebral disc degeneration in vitro and animal studies[J]. Journal of Orthopaedic Surgery and Research, 2023, 18(1): 436. DOI:10.1186/s13018-023-03869-4.</w:t>
      </w:r>
    </w:p>
    <w:p>
      <w:pPr>
        <w:spacing w:after="10" w:line="240" w:lineRule="auto"/>
        <w:ind w:left="114" w:firstLine="0"/>
      </w:pPr>
      <w:r>
        <w:rPr>
          <w:rFonts w:ascii="Times New Roman" w:hAnsi="Times New Roman" w:eastAsia="Noto Serif CJK SC"/>
          <w:sz w:val="17"/>
        </w:rPr>
        <w:t>[13] 李翼, 左铮云. 方剂学[M]. 北京: 中国中医药出版社, 2021.</w:t>
      </w:r>
    </w:p>
    <w:p>
      <w:pPr>
        <w:spacing w:after="10" w:line="240" w:lineRule="auto"/>
        <w:ind w:left="114" w:firstLine="0"/>
      </w:pPr>
      <w:r>
        <w:rPr>
          <w:rFonts w:ascii="Times New Roman" w:hAnsi="Times New Roman" w:eastAsia="Noto Serif CJK SC"/>
          <w:sz w:val="17"/>
        </w:rPr>
        <w:t>[14] Genant HK, Wu CY, van Kuijk C, Nevitt MC. Vertebral fracture assessment using a semiquantitative technique[J]. Journal of Bone and Mineral Research, 1993, 8(9): 1137-1148. DOI:10.1002/jbmr.5650080915.</w:t>
      </w:r>
    </w:p>
    <w:p>
      <w:pPr>
        <w:spacing w:after="10" w:line="240" w:lineRule="auto"/>
        <w:ind w:left="114" w:firstLine="0"/>
      </w:pPr>
      <w:r>
        <w:rPr>
          <w:rFonts w:ascii="Times New Roman" w:hAnsi="Times New Roman" w:eastAsia="Noto Serif CJK SC"/>
          <w:sz w:val="17"/>
        </w:rPr>
        <w:t>[15] von Elm E, Altman DG, Egger M, et al. The Strengthening the Reporting of Observational Studies in Epidemiology (STROBE) statement: guidelines for reporting observational studies[J]. Journal of Clinical Epidemiology, 2008, 61(4): 344-349. DOI:10.1016/j.jclinepi.2007.11.008.</w:t>
      </w:r>
    </w:p>
    <w:sectPr w:rsidR="00FC693F" w:rsidRPr="0006063C" w:rsidSect="00034616">
      <w:pgSz w:w="11906" w:h="16838"/>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60"/>
      <w:ind w:firstLine="480"/>
    </w:pPr>
    <w:rPr>
      <w:rFonts w:ascii="Times New Roman" w:hAnsi="Times New Roman" w:eastAsia="Noto Serif CJK SC"/>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独活寄生汤联合PKP治疗骨质疏松性腰椎椎体压缩性骨折的回顾性研究方案</dc:title>
  <dc:subject>研究方案预稿修订版</dc:subject>
  <dc:creator/>
  <cp:keywords>独活寄生汤；PKP；骨质疏松性椎体压缩性骨折；回顾性研究</cp:keywords>
  <dc:description>generated by python-docx</dc:description>
  <cp:lastModifiedBy/>
  <cp:revision>1</cp:revision>
  <dcterms:created xsi:type="dcterms:W3CDTF">2013-12-23T23:15:00Z</dcterms:created>
  <dcterms:modified xsi:type="dcterms:W3CDTF">2013-12-23T23:15:00Z</dcterms:modified>
  <cp:category/>
</cp:coreProperties>
</file>