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lang w:val="en-US" w:eastAsia="zh-CN"/>
        </w:rPr>
      </w:pPr>
      <w:r>
        <w:rPr>
          <w:rFonts w:hint="eastAsia"/>
          <w:lang w:val="en-US" w:eastAsia="zh-CN"/>
        </w:rPr>
        <w:t>版本号：L001</w:t>
      </w:r>
    </w:p>
    <w:p>
      <w:pPr>
        <w:jc w:val="both"/>
        <w:rPr>
          <w:rFonts w:hint="eastAsia" w:asciiTheme="majorEastAsia" w:hAnsiTheme="majorEastAsia" w:eastAsiaTheme="majorEastAsia" w:cstheme="majorEastAsia"/>
          <w:sz w:val="44"/>
          <w:szCs w:val="44"/>
          <w:lang w:val="en-US" w:eastAsia="zh-CN"/>
        </w:rPr>
      </w:pPr>
      <w:r>
        <w:rPr>
          <w:rFonts w:hint="eastAsia"/>
          <w:lang w:val="en-US" w:eastAsia="zh-CN"/>
        </w:rPr>
        <w:t>日期：  2026年4月10日</w:t>
      </w:r>
    </w:p>
    <w:p>
      <w:pPr>
        <w:jc w:val="center"/>
        <w:rPr>
          <w:rFonts w:hint="eastAsia" w:asciiTheme="majorEastAsia" w:hAnsiTheme="majorEastAsia" w:eastAsiaTheme="majorEastAsia" w:cstheme="majorEastAsia"/>
          <w:sz w:val="44"/>
          <w:szCs w:val="44"/>
          <w:lang w:val="en-US" w:eastAsia="zh-CN"/>
        </w:rPr>
      </w:pPr>
    </w:p>
    <w:p>
      <w:pPr>
        <w:jc w:val="center"/>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center"/>
        <w:rPr>
          <w:rFonts w:hint="default" w:asciiTheme="majorEastAsia" w:hAnsiTheme="majorEastAsia" w:eastAsiaTheme="majorEastAsia" w:cstheme="majorEastAsia"/>
          <w:sz w:val="44"/>
          <w:szCs w:val="44"/>
          <w:lang w:val="en-US" w:eastAsia="zh-CN"/>
        </w:rPr>
      </w:pPr>
      <w:r>
        <w:rPr>
          <w:rFonts w:hint="eastAsia" w:asciiTheme="majorEastAsia" w:hAnsiTheme="majorEastAsia" w:eastAsiaTheme="majorEastAsia" w:cstheme="majorEastAsia"/>
          <w:sz w:val="44"/>
          <w:szCs w:val="44"/>
          <w:lang w:val="en-US" w:eastAsia="zh-CN"/>
        </w:rPr>
        <w:t>独活寄生汤加减联合45°脊柱内镜技术治疗寒湿痹阻型腰椎间盘突出症的回顾性研究</w:t>
      </w:r>
    </w:p>
    <w:p>
      <w:pPr>
        <w:jc w:val="center"/>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r>
        <w:rPr>
          <w:rFonts w:hint="eastAsia" w:ascii="黑体" w:hAnsi="黑体" w:eastAsia="黑体"/>
        </w:rPr>
        <mc:AlternateContent>
          <mc:Choice Requires="wps">
            <w:drawing>
              <wp:anchor distT="0" distB="0" distL="114300" distR="114300" simplePos="0" relativeHeight="251659264" behindDoc="0" locked="0" layoutInCell="1" allowOverlap="1">
                <wp:simplePos x="0" y="0"/>
                <wp:positionH relativeFrom="margin">
                  <wp:posOffset>2075180</wp:posOffset>
                </wp:positionH>
                <wp:positionV relativeFrom="paragraph">
                  <wp:posOffset>215265</wp:posOffset>
                </wp:positionV>
                <wp:extent cx="915035" cy="2627630"/>
                <wp:effectExtent l="0" t="0" r="14605" b="8890"/>
                <wp:wrapNone/>
                <wp:docPr id="1938109991" name="文本框 1"/>
                <wp:cNvGraphicFramePr/>
                <a:graphic xmlns:a="http://schemas.openxmlformats.org/drawingml/2006/main">
                  <a:graphicData uri="http://schemas.microsoft.com/office/word/2010/wordprocessingShape">
                    <wps:wsp>
                      <wps:cNvSpPr txBox="1"/>
                      <wps:spPr>
                        <a:xfrm>
                          <a:off x="0" y="0"/>
                          <a:ext cx="915035" cy="2627630"/>
                        </a:xfrm>
                        <a:prstGeom prst="rect">
                          <a:avLst/>
                        </a:prstGeom>
                        <a:solidFill>
                          <a:schemeClr val="lt1"/>
                        </a:solidFill>
                        <a:ln w="6350">
                          <a:noFill/>
                        </a:ln>
                      </wps:spPr>
                      <wps:txbx>
                        <w:txbxContent>
                          <w:p>
                            <w:pPr>
                              <w:jc w:val="distribute"/>
                              <w:rPr>
                                <w:rFonts w:hint="eastAsia" w:ascii="黑体" w:hAnsi="黑体" w:eastAsia="黑体"/>
                                <w:sz w:val="72"/>
                                <w:szCs w:val="96"/>
                              </w:rPr>
                            </w:pPr>
                            <w:r>
                              <w:rPr>
                                <w:rFonts w:hint="eastAsia" w:ascii="黑体" w:hAnsi="黑体" w:eastAsia="黑体"/>
                                <w:sz w:val="72"/>
                                <w:szCs w:val="96"/>
                              </w:rPr>
                              <w:t>研究方案</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63.4pt;margin-top:16.95pt;height:206.9pt;width:72.05pt;mso-position-horizontal-relative:margin;z-index:251659264;mso-width-relative:page;mso-height-relative:page;" fillcolor="#FFFFFF [3201]" filled="t" stroked="f" coordsize="21600,21600" o:gfxdata="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9ubf&#10;x9cAAAAKAQAADwAAAAAAAAABACAAAAAiAAAAZHJzL2Rvd25yZXYueG1sUEsBAhQAFAAAAAgAh07i&#10;QHqgL9BcAgAAmgQAAA4AAAAAAAAAAQAgAAAAJgEAAGRycy9lMm9Eb2MueG1sUEsFBgAAAAAGAAYA&#10;WQEAAPQFAAAAAA==&#10;">
                <v:fill on="t" focussize="0,0"/>
                <v:stroke on="f" weight="0.5pt"/>
                <v:imagedata o:title=""/>
                <o:lock v:ext="edit" aspectratio="f"/>
                <v:textbox style="layout-flow:vertical-ideographic;">
                  <w:txbxContent>
                    <w:p>
                      <w:pPr>
                        <w:jc w:val="distribute"/>
                        <w:rPr>
                          <w:rFonts w:hint="eastAsia" w:ascii="黑体" w:hAnsi="黑体" w:eastAsia="黑体"/>
                          <w:sz w:val="72"/>
                          <w:szCs w:val="96"/>
                        </w:rPr>
                      </w:pPr>
                      <w:r>
                        <w:rPr>
                          <w:rFonts w:hint="eastAsia" w:ascii="黑体" w:hAnsi="黑体" w:eastAsia="黑体"/>
                          <w:sz w:val="72"/>
                          <w:szCs w:val="96"/>
                        </w:rPr>
                        <w:t>研究方案</w:t>
                      </w:r>
                    </w:p>
                  </w:txbxContent>
                </v:textbox>
              </v:shape>
            </w:pict>
          </mc:Fallback>
        </mc:AlternateContent>
      </w: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numPr>
          <w:ilvl w:val="0"/>
          <w:numId w:val="2"/>
        </w:numPr>
        <w:rPr>
          <w:rFonts w:hint="eastAsia"/>
          <w:b/>
          <w:bCs/>
        </w:rPr>
      </w:pPr>
      <w:r>
        <w:rPr>
          <w:rFonts w:hint="eastAsia"/>
          <w:b/>
          <w:bCs/>
        </w:rPr>
        <w:t>研究背景与目的</w:t>
      </w:r>
    </w:p>
    <w:p>
      <w:pPr>
        <w:numPr>
          <w:ilvl w:val="0"/>
          <w:numId w:val="0"/>
        </w:numPr>
        <w:ind w:firstLine="420" w:firstLineChars="200"/>
        <w:rPr>
          <w:rFonts w:hint="default" w:ascii="Times New Roman" w:hAnsi="Times New Roman" w:cs="Times New Roman" w:eastAsiaTheme="minorEastAsia"/>
          <w:szCs w:val="21"/>
          <w:lang w:val="en-US" w:eastAsia="zh-CN"/>
        </w:rPr>
      </w:pPr>
      <w:r>
        <w:rPr>
          <w:rFonts w:ascii="Times New Roman" w:hAnsi="Times New Roman" w:cs="Times New Roman"/>
          <w:szCs w:val="21"/>
        </w:rPr>
        <w:t>腰椎间盘突出症(L</w:t>
      </w:r>
      <w:r>
        <w:rPr>
          <w:rFonts w:hint="eastAsia" w:ascii="Times New Roman" w:hAnsi="Times New Roman" w:cs="Times New Roman"/>
          <w:szCs w:val="21"/>
        </w:rPr>
        <w:t>u</w:t>
      </w:r>
      <w:r>
        <w:rPr>
          <w:rFonts w:ascii="Times New Roman" w:hAnsi="Times New Roman" w:eastAsia="Segoe UI" w:cs="Times New Roman"/>
          <w:color w:val="212121"/>
          <w:sz w:val="19"/>
          <w:szCs w:val="19"/>
          <w:shd w:val="clear" w:color="auto" w:fill="FFFFFF"/>
        </w:rPr>
        <w:t xml:space="preserve">mbar </w:t>
      </w:r>
      <w:r>
        <w:rPr>
          <w:rFonts w:ascii="Times New Roman" w:hAnsi="Times New Roman" w:eastAsia="宋体" w:cs="Times New Roman"/>
          <w:color w:val="212121"/>
          <w:sz w:val="19"/>
          <w:szCs w:val="19"/>
          <w:shd w:val="clear" w:color="auto" w:fill="FFFFFF"/>
        </w:rPr>
        <w:t>D</w:t>
      </w:r>
      <w:r>
        <w:rPr>
          <w:rFonts w:ascii="Times New Roman" w:hAnsi="Times New Roman" w:eastAsia="Segoe UI" w:cs="Times New Roman"/>
          <w:color w:val="212121"/>
          <w:sz w:val="19"/>
          <w:szCs w:val="19"/>
          <w:shd w:val="clear" w:color="auto" w:fill="FFFFFF"/>
        </w:rPr>
        <w:t xml:space="preserve">isc </w:t>
      </w:r>
      <w:r>
        <w:rPr>
          <w:rFonts w:ascii="Times New Roman" w:hAnsi="Times New Roman" w:eastAsia="宋体" w:cs="Times New Roman"/>
          <w:color w:val="212121"/>
          <w:sz w:val="19"/>
          <w:szCs w:val="19"/>
          <w:shd w:val="clear" w:color="auto" w:fill="FFFFFF"/>
        </w:rPr>
        <w:t>H</w:t>
      </w:r>
      <w:r>
        <w:rPr>
          <w:rFonts w:ascii="Times New Roman" w:hAnsi="Times New Roman" w:eastAsia="Segoe UI" w:cs="Times New Roman"/>
          <w:color w:val="212121"/>
          <w:sz w:val="19"/>
          <w:szCs w:val="19"/>
          <w:shd w:val="clear" w:color="auto" w:fill="FFFFFF"/>
        </w:rPr>
        <w:t>erniation</w:t>
      </w:r>
      <w:r>
        <w:rPr>
          <w:rFonts w:ascii="Times New Roman" w:hAnsi="Times New Roman" w:eastAsia="宋体" w:cs="Times New Roman"/>
          <w:color w:val="212121"/>
          <w:sz w:val="19"/>
          <w:szCs w:val="19"/>
          <w:shd w:val="clear" w:color="auto" w:fill="FFFFFF"/>
        </w:rPr>
        <w:t>，LDH</w:t>
      </w:r>
      <w:r>
        <w:rPr>
          <w:rFonts w:ascii="Times New Roman" w:hAnsi="Times New Roman" w:cs="Times New Roman"/>
          <w:szCs w:val="21"/>
        </w:rPr>
        <w:t>)是一种常见的脊柱退行性疾病，通常为纤维环破裂使髓核突出压迫神经和马尾神经，导致腰痛和下肢疼痛麻木</w:t>
      </w:r>
      <w:r>
        <w:rPr>
          <w:rFonts w:hint="eastAsia" w:ascii="Times New Roman" w:hAnsi="Times New Roman" w:cs="Times New Roman"/>
          <w:szCs w:val="21"/>
          <w:vertAlign w:val="superscript"/>
        </w:rPr>
        <w:fldChar w:fldCharType="begin"/>
      </w:r>
      <w:r>
        <w:rPr>
          <w:rFonts w:hint="eastAsia" w:ascii="Times New Roman" w:hAnsi="Times New Roman" w:cs="Times New Roman"/>
          <w:szCs w:val="21"/>
          <w:vertAlign w:val="superscript"/>
        </w:rPr>
        <w:instrText xml:space="preserve"> REF _Ref28838 \n \h </w:instrText>
      </w:r>
      <w:r>
        <w:rPr>
          <w:rFonts w:hint="eastAsia" w:ascii="Times New Roman" w:hAnsi="Times New Roman" w:cs="Times New Roman"/>
          <w:szCs w:val="21"/>
          <w:vertAlign w:val="superscript"/>
        </w:rPr>
        <w:fldChar w:fldCharType="separate"/>
      </w:r>
      <w:r>
        <w:rPr>
          <w:rFonts w:hint="eastAsia" w:ascii="Times New Roman" w:hAnsi="Times New Roman" w:cs="Times New Roman"/>
          <w:szCs w:val="21"/>
          <w:vertAlign w:val="superscript"/>
        </w:rPr>
        <w:t>[1,2]</w:t>
      </w:r>
      <w:r>
        <w:rPr>
          <w:rFonts w:hint="eastAsia" w:ascii="Times New Roman" w:hAnsi="Times New Roman" w:cs="Times New Roman"/>
          <w:szCs w:val="21"/>
          <w:vertAlign w:val="superscript"/>
        </w:rPr>
        <w:fldChar w:fldCharType="end"/>
      </w:r>
      <w:r>
        <w:rPr>
          <w:rFonts w:ascii="Times New Roman" w:hAnsi="Times New Roman" w:cs="Times New Roman"/>
          <w:szCs w:val="21"/>
        </w:rPr>
        <w:t>。近年来，随着生活方式的改变，LDH的患病率愈发增高，且患病</w:t>
      </w:r>
      <w:r>
        <w:rPr>
          <w:rFonts w:hint="eastAsia" w:ascii="Times New Roman" w:hAnsi="Times New Roman" w:cs="Times New Roman"/>
          <w:szCs w:val="21"/>
        </w:rPr>
        <w:t>人群</w:t>
      </w:r>
      <w:r>
        <w:rPr>
          <w:rFonts w:ascii="Times New Roman" w:hAnsi="Times New Roman" w:cs="Times New Roman"/>
          <w:szCs w:val="21"/>
        </w:rPr>
        <w:t>趋近年轻化</w:t>
      </w:r>
      <w:r>
        <w:rPr>
          <w:rFonts w:ascii="Times New Roman" w:hAnsi="Times New Roman" w:cs="Times New Roman"/>
          <w:szCs w:val="21"/>
          <w:vertAlign w:val="superscript"/>
        </w:rPr>
        <w:fldChar w:fldCharType="begin"/>
      </w:r>
      <w:r>
        <w:rPr>
          <w:rFonts w:ascii="Times New Roman" w:hAnsi="Times New Roman" w:cs="Times New Roman"/>
          <w:szCs w:val="21"/>
          <w:vertAlign w:val="superscript"/>
        </w:rPr>
        <w:instrText xml:space="preserve"> REF _Ref4249 \r \h </w:instrText>
      </w:r>
      <w:r>
        <w:rPr>
          <w:rFonts w:ascii="Times New Roman" w:hAnsi="Times New Roman" w:cs="Times New Roman"/>
          <w:szCs w:val="21"/>
          <w:vertAlign w:val="superscript"/>
        </w:rPr>
        <w:fldChar w:fldCharType="separate"/>
      </w:r>
      <w:r>
        <w:rPr>
          <w:rFonts w:ascii="Times New Roman" w:hAnsi="Times New Roman" w:cs="Times New Roman"/>
          <w:szCs w:val="21"/>
          <w:vertAlign w:val="superscript"/>
        </w:rPr>
        <w:t>[3]</w:t>
      </w:r>
      <w:r>
        <w:rPr>
          <w:rFonts w:ascii="Times New Roman" w:hAnsi="Times New Roman" w:cs="Times New Roman"/>
          <w:szCs w:val="21"/>
          <w:vertAlign w:val="superscript"/>
        </w:rPr>
        <w:fldChar w:fldCharType="end"/>
      </w:r>
      <w:r>
        <w:rPr>
          <w:rFonts w:ascii="Times New Roman" w:hAnsi="Times New Roman" w:cs="Times New Roman"/>
          <w:szCs w:val="21"/>
        </w:rPr>
        <w:t>，严重影响患者的日常生活，</w:t>
      </w:r>
      <w:r>
        <w:rPr>
          <w:rFonts w:hint="eastAsia" w:ascii="Times New Roman" w:hAnsi="Times New Roman" w:cs="Times New Roman"/>
          <w:szCs w:val="21"/>
        </w:rPr>
        <w:t>同时也</w:t>
      </w:r>
      <w:r>
        <w:rPr>
          <w:rFonts w:ascii="Times New Roman" w:hAnsi="Times New Roman" w:cs="Times New Roman"/>
          <w:szCs w:val="21"/>
        </w:rPr>
        <w:t>增加了社会负担。目前，</w:t>
      </w:r>
      <w:r>
        <w:rPr>
          <w:rFonts w:hint="eastAsia" w:ascii="Times New Roman" w:hAnsi="Times New Roman" w:cs="Times New Roman"/>
          <w:szCs w:val="21"/>
        </w:rPr>
        <w:t xml:space="preserve">90% </w:t>
      </w:r>
      <w:r>
        <w:rPr>
          <w:rFonts w:ascii="Times New Roman" w:hAnsi="Times New Roman" w:cs="Times New Roman"/>
          <w:szCs w:val="21"/>
        </w:rPr>
        <w:t>LDH患者经保守治疗症状可得到缓解</w:t>
      </w:r>
      <w:r>
        <w:rPr>
          <w:rFonts w:hint="eastAsia" w:ascii="Times New Roman" w:hAnsi="Times New Roman" w:cs="Times New Roman"/>
          <w:szCs w:val="21"/>
          <w:vertAlign w:val="superscript"/>
        </w:rPr>
        <w:fldChar w:fldCharType="begin"/>
      </w:r>
      <w:r>
        <w:rPr>
          <w:rFonts w:hint="eastAsia" w:ascii="Times New Roman" w:hAnsi="Times New Roman" w:cs="Times New Roman"/>
          <w:szCs w:val="21"/>
          <w:vertAlign w:val="superscript"/>
        </w:rPr>
        <w:instrText xml:space="preserve"> REF _Ref5177 \n \h </w:instrText>
      </w:r>
      <w:r>
        <w:rPr>
          <w:rFonts w:hint="eastAsia" w:ascii="Times New Roman" w:hAnsi="Times New Roman" w:cs="Times New Roman"/>
          <w:szCs w:val="21"/>
          <w:vertAlign w:val="superscript"/>
        </w:rPr>
        <w:fldChar w:fldCharType="separate"/>
      </w:r>
      <w:r>
        <w:rPr>
          <w:rFonts w:hint="eastAsia" w:ascii="Times New Roman" w:hAnsi="Times New Roman" w:cs="Times New Roman"/>
          <w:szCs w:val="21"/>
          <w:vertAlign w:val="superscript"/>
        </w:rPr>
        <w:t>[4]</w:t>
      </w:r>
      <w:r>
        <w:rPr>
          <w:rFonts w:hint="eastAsia" w:ascii="Times New Roman" w:hAnsi="Times New Roman" w:cs="Times New Roman"/>
          <w:szCs w:val="21"/>
          <w:vertAlign w:val="superscript"/>
        </w:rPr>
        <w:fldChar w:fldCharType="end"/>
      </w:r>
      <w:r>
        <w:rPr>
          <w:rFonts w:ascii="Times New Roman" w:hAnsi="Times New Roman" w:cs="Times New Roman"/>
          <w:szCs w:val="21"/>
        </w:rPr>
        <w:t>，但部分患者经保守治疗</w:t>
      </w:r>
      <w:r>
        <w:rPr>
          <w:rFonts w:hint="eastAsia" w:ascii="Times New Roman" w:hAnsi="Times New Roman" w:cs="Times New Roman"/>
          <w:szCs w:val="21"/>
        </w:rPr>
        <w:t>3</w:t>
      </w:r>
      <w:r>
        <w:rPr>
          <w:rFonts w:ascii="Times New Roman" w:hAnsi="Times New Roman" w:cs="Times New Roman"/>
          <w:szCs w:val="21"/>
        </w:rPr>
        <w:t>月无效或好转后病情反复发作，需要行手术治疗</w:t>
      </w:r>
      <w:r>
        <w:rPr>
          <w:rFonts w:hint="eastAsia" w:ascii="Times New Roman" w:hAnsi="Times New Roman" w:cs="Times New Roman"/>
          <w:szCs w:val="21"/>
          <w:vertAlign w:val="superscript"/>
        </w:rPr>
        <w:fldChar w:fldCharType="begin"/>
      </w:r>
      <w:r>
        <w:rPr>
          <w:rFonts w:hint="eastAsia" w:ascii="Times New Roman" w:hAnsi="Times New Roman" w:cs="Times New Roman"/>
          <w:szCs w:val="21"/>
          <w:vertAlign w:val="superscript"/>
        </w:rPr>
        <w:instrText xml:space="preserve"> REF _Ref29429 \n \h </w:instrText>
      </w:r>
      <w:r>
        <w:rPr>
          <w:rFonts w:hint="eastAsia" w:ascii="Times New Roman" w:hAnsi="Times New Roman" w:cs="Times New Roman"/>
          <w:szCs w:val="21"/>
          <w:vertAlign w:val="superscript"/>
        </w:rPr>
        <w:fldChar w:fldCharType="separate"/>
      </w:r>
      <w:r>
        <w:rPr>
          <w:rFonts w:hint="eastAsia" w:ascii="Times New Roman" w:hAnsi="Times New Roman" w:cs="Times New Roman"/>
          <w:szCs w:val="21"/>
          <w:vertAlign w:val="superscript"/>
        </w:rPr>
        <w:t>[5,6]</w:t>
      </w:r>
      <w:r>
        <w:rPr>
          <w:rFonts w:hint="eastAsia" w:ascii="Times New Roman" w:hAnsi="Times New Roman" w:cs="Times New Roman"/>
          <w:szCs w:val="21"/>
          <w:vertAlign w:val="superscript"/>
        </w:rPr>
        <w:fldChar w:fldCharType="end"/>
      </w:r>
      <w:r>
        <w:rPr>
          <w:rFonts w:ascii="Times New Roman" w:hAnsi="Times New Roman" w:cs="Times New Roman"/>
          <w:szCs w:val="21"/>
        </w:rPr>
        <w:t>。</w:t>
      </w:r>
      <w:r>
        <w:rPr>
          <w:rFonts w:hint="eastAsia" w:ascii="Times New Roman" w:hAnsi="Times New Roman" w:cs="Times New Roman"/>
          <w:szCs w:val="21"/>
        </w:rPr>
        <w:t>传统腰椎开放性手术在临床上已取得显著疗效</w:t>
      </w:r>
      <w:r>
        <w:rPr>
          <w:rFonts w:ascii="Times New Roman" w:hAnsi="Times New Roman" w:cs="Times New Roman"/>
          <w:szCs w:val="21"/>
          <w:vertAlign w:val="superscript"/>
        </w:rPr>
        <w:fldChar w:fldCharType="begin"/>
      </w:r>
      <w:r>
        <w:rPr>
          <w:rFonts w:ascii="Times New Roman" w:hAnsi="Times New Roman" w:cs="Times New Roman"/>
          <w:szCs w:val="21"/>
          <w:vertAlign w:val="superscript"/>
        </w:rPr>
        <w:instrText xml:space="preserve"> REF _Ref4785 \r \h </w:instrText>
      </w:r>
      <w:r>
        <w:rPr>
          <w:rFonts w:ascii="Times New Roman" w:hAnsi="Times New Roman" w:cs="Times New Roman"/>
          <w:szCs w:val="21"/>
          <w:vertAlign w:val="superscript"/>
        </w:rPr>
        <w:fldChar w:fldCharType="separate"/>
      </w:r>
      <w:r>
        <w:rPr>
          <w:rFonts w:ascii="Times New Roman" w:hAnsi="Times New Roman" w:cs="Times New Roman"/>
          <w:szCs w:val="21"/>
          <w:vertAlign w:val="superscript"/>
        </w:rPr>
        <w:t>[</w:t>
      </w:r>
      <w:r>
        <w:rPr>
          <w:rFonts w:hint="eastAsia" w:ascii="Times New Roman" w:hAnsi="Times New Roman" w:cs="Times New Roman"/>
          <w:szCs w:val="21"/>
          <w:vertAlign w:val="superscript"/>
        </w:rPr>
        <w:t>7</w:t>
      </w:r>
      <w:r>
        <w:rPr>
          <w:rFonts w:ascii="Times New Roman" w:hAnsi="Times New Roman" w:cs="Times New Roman"/>
          <w:szCs w:val="21"/>
          <w:vertAlign w:val="superscript"/>
        </w:rPr>
        <w:t>]</w:t>
      </w:r>
      <w:r>
        <w:rPr>
          <w:rFonts w:ascii="Times New Roman" w:hAnsi="Times New Roman" w:cs="Times New Roman"/>
          <w:szCs w:val="21"/>
          <w:vertAlign w:val="superscript"/>
        </w:rPr>
        <w:fldChar w:fldCharType="end"/>
      </w:r>
      <w:r>
        <w:rPr>
          <w:rFonts w:hint="eastAsia" w:ascii="Times New Roman" w:hAnsi="Times New Roman" w:cs="Times New Roman"/>
          <w:szCs w:val="21"/>
        </w:rPr>
        <w:t>，然而，因手术切口较大，术后短期内手术切口疼痛难以缓解</w:t>
      </w:r>
      <w:r>
        <w:rPr>
          <w:rFonts w:hint="eastAsia" w:ascii="Times New Roman" w:hAnsi="Times New Roman" w:cs="Times New Roman"/>
          <w:szCs w:val="21"/>
          <w:lang w:eastAsia="zh-CN"/>
        </w:rPr>
        <w:t>、</w:t>
      </w:r>
      <w:r>
        <w:rPr>
          <w:rFonts w:hint="eastAsia" w:ascii="Times New Roman" w:hAnsi="Times New Roman" w:cs="Times New Roman"/>
          <w:szCs w:val="21"/>
          <w:lang w:val="en-US" w:eastAsia="zh-CN"/>
        </w:rPr>
        <w:t>脊柱稳定性破坏大</w:t>
      </w:r>
      <w:r>
        <w:rPr>
          <w:rFonts w:hint="eastAsia" w:ascii="Times New Roman" w:hAnsi="Times New Roman" w:cs="Times New Roman"/>
          <w:szCs w:val="21"/>
        </w:rPr>
        <w:t>等问题频发。</w:t>
      </w:r>
      <w:r>
        <w:rPr>
          <w:rFonts w:hint="eastAsia" w:ascii="Times New Roman" w:hAnsi="Times New Roman" w:cs="Times New Roman"/>
          <w:szCs w:val="21"/>
          <w:lang w:val="en-US" w:eastAsia="zh-CN"/>
        </w:rPr>
        <w:t>因此微创手术更偏向患者的选择，</w:t>
      </w:r>
      <w:r>
        <w:rPr>
          <w:rFonts w:ascii="Times New Roman" w:hAnsi="Times New Roman" w:cs="Times New Roman"/>
          <w:szCs w:val="21"/>
        </w:rPr>
        <w:t>尽管大量研究证实</w:t>
      </w:r>
      <w:r>
        <w:rPr>
          <w:rFonts w:hint="eastAsia" w:ascii="Times New Roman" w:hAnsi="Times New Roman" w:cs="Times New Roman"/>
          <w:szCs w:val="21"/>
          <w:lang w:val="en-US" w:eastAsia="zh-CN"/>
        </w:rPr>
        <w:t>微创</w:t>
      </w:r>
      <w:r>
        <w:rPr>
          <w:rFonts w:ascii="Times New Roman" w:hAnsi="Times New Roman" w:cs="Times New Roman"/>
          <w:szCs w:val="21"/>
        </w:rPr>
        <w:t>技术对于LDH的疗效确切，</w:t>
      </w:r>
      <w:r>
        <w:rPr>
          <w:rFonts w:hint="eastAsia" w:ascii="Times New Roman" w:hAnsi="Times New Roman" w:cs="Times New Roman"/>
          <w:szCs w:val="21"/>
          <w:lang w:val="en-US" w:eastAsia="zh-CN"/>
        </w:rPr>
        <w:t>然而</w:t>
      </w:r>
      <w:r>
        <w:rPr>
          <w:rFonts w:ascii="Times New Roman" w:hAnsi="Times New Roman" w:cs="Times New Roman"/>
          <w:szCs w:val="21"/>
        </w:rPr>
        <w:t>术后部分患者存有下肢麻木或胀痛的</w:t>
      </w:r>
      <w:r>
        <w:rPr>
          <w:rFonts w:hint="eastAsia" w:ascii="Times New Roman" w:hAnsi="Times New Roman" w:cs="Times New Roman"/>
          <w:szCs w:val="21"/>
          <w:lang w:val="en-US" w:eastAsia="zh-CN"/>
        </w:rPr>
        <w:t>残余</w:t>
      </w:r>
      <w:r>
        <w:rPr>
          <w:rFonts w:ascii="Times New Roman" w:hAnsi="Times New Roman" w:cs="Times New Roman"/>
          <w:szCs w:val="21"/>
        </w:rPr>
        <w:t>症状，目前临床上针对此类症状的药物主要为非甾体类抗炎药及营养神经类药物，然而这些药物常伴随着对消化系统和循环系统的潜在危害</w:t>
      </w:r>
      <w:r>
        <w:rPr>
          <w:rFonts w:hint="eastAsia" w:ascii="Times New Roman" w:hAnsi="Times New Roman" w:cs="Times New Roman"/>
          <w:szCs w:val="21"/>
          <w:vertAlign w:val="superscript"/>
        </w:rPr>
        <w:fldChar w:fldCharType="begin"/>
      </w:r>
      <w:r>
        <w:rPr>
          <w:rFonts w:hint="eastAsia" w:ascii="Times New Roman" w:hAnsi="Times New Roman" w:cs="Times New Roman"/>
          <w:szCs w:val="21"/>
          <w:vertAlign w:val="superscript"/>
        </w:rPr>
        <w:instrText xml:space="preserve"> REF _Ref30670 \n \h </w:instrText>
      </w:r>
      <w:r>
        <w:rPr>
          <w:rFonts w:hint="eastAsia" w:ascii="Times New Roman" w:hAnsi="Times New Roman" w:cs="Times New Roman"/>
          <w:szCs w:val="21"/>
          <w:vertAlign w:val="superscript"/>
        </w:rPr>
        <w:fldChar w:fldCharType="separate"/>
      </w:r>
      <w:r>
        <w:rPr>
          <w:rFonts w:hint="eastAsia" w:ascii="Times New Roman" w:hAnsi="Times New Roman" w:cs="Times New Roman"/>
          <w:szCs w:val="21"/>
          <w:vertAlign w:val="superscript"/>
        </w:rPr>
        <w:t>[</w:t>
      </w:r>
      <w:r>
        <w:rPr>
          <w:rFonts w:hint="eastAsia" w:ascii="Times New Roman" w:hAnsi="Times New Roman" w:cs="Times New Roman"/>
          <w:szCs w:val="21"/>
          <w:vertAlign w:val="superscript"/>
          <w:lang w:val="en-US" w:eastAsia="zh-CN"/>
        </w:rPr>
        <w:t>8</w:t>
      </w:r>
      <w:r>
        <w:rPr>
          <w:rFonts w:hint="eastAsia" w:ascii="Times New Roman" w:hAnsi="Times New Roman" w:cs="Times New Roman"/>
          <w:szCs w:val="21"/>
          <w:vertAlign w:val="superscript"/>
        </w:rPr>
        <w:t>,</w:t>
      </w:r>
      <w:r>
        <w:rPr>
          <w:rFonts w:hint="eastAsia" w:ascii="Times New Roman" w:hAnsi="Times New Roman" w:cs="Times New Roman"/>
          <w:szCs w:val="21"/>
          <w:vertAlign w:val="superscript"/>
          <w:lang w:val="en-US" w:eastAsia="zh-CN"/>
        </w:rPr>
        <w:t>9</w:t>
      </w:r>
      <w:r>
        <w:rPr>
          <w:rFonts w:hint="eastAsia" w:ascii="Times New Roman" w:hAnsi="Times New Roman" w:cs="Times New Roman"/>
          <w:szCs w:val="21"/>
          <w:vertAlign w:val="superscript"/>
        </w:rPr>
        <w:t>]</w:t>
      </w:r>
      <w:r>
        <w:rPr>
          <w:rFonts w:hint="eastAsia" w:ascii="Times New Roman" w:hAnsi="Times New Roman" w:cs="Times New Roman"/>
          <w:szCs w:val="21"/>
          <w:vertAlign w:val="superscript"/>
        </w:rPr>
        <w:fldChar w:fldCharType="end"/>
      </w:r>
      <w:r>
        <w:rPr>
          <w:rFonts w:ascii="Times New Roman" w:hAnsi="Times New Roman" w:cs="Times New Roman"/>
          <w:szCs w:val="21"/>
        </w:rPr>
        <w:t>。鉴于现有药物治疗的局限性，我们转向中医理论寻求更优的治疗方案，发挥中医辨证论治的思路，在长期的临床实践中，我们针对寒湿痹阻型LDH患者，</w:t>
      </w:r>
      <w:r>
        <w:rPr>
          <w:rFonts w:hint="eastAsia" w:ascii="Times New Roman" w:hAnsi="Times New Roman" w:cs="Times New Roman"/>
          <w:szCs w:val="21"/>
          <w:lang w:val="en-US" w:eastAsia="zh-CN"/>
        </w:rPr>
        <w:t>服用</w:t>
      </w:r>
      <w:r>
        <w:rPr>
          <w:rFonts w:ascii="Times New Roman" w:hAnsi="Times New Roman" w:cs="Times New Roman"/>
          <w:szCs w:val="21"/>
        </w:rPr>
        <w:t>独活寄生汤口服观察到了较好的疗效</w:t>
      </w:r>
      <w:r>
        <w:rPr>
          <w:rFonts w:hint="eastAsia" w:ascii="Times New Roman" w:hAnsi="Times New Roman" w:cs="Times New Roman"/>
          <w:szCs w:val="21"/>
          <w:lang w:eastAsia="zh-CN"/>
        </w:rPr>
        <w:t>。</w:t>
      </w:r>
      <w:r>
        <w:rPr>
          <w:rFonts w:hint="eastAsia" w:ascii="Times New Roman" w:hAnsi="Times New Roman" w:cs="Times New Roman"/>
          <w:szCs w:val="21"/>
          <w:lang w:val="en-US" w:eastAsia="zh-CN"/>
        </w:rPr>
        <w:t>因此我们将其应用到45°脊柱内镜术后，用于减轻或预防术后残余症状。</w:t>
      </w:r>
    </w:p>
    <w:p>
      <w:pPr>
        <w:numPr>
          <w:ilvl w:val="0"/>
          <w:numId w:val="0"/>
        </w:numPr>
        <w:ind w:firstLine="420" w:firstLineChars="200"/>
        <w:rPr>
          <w:rFonts w:hint="eastAsia" w:ascii="Segoe UI" w:hAnsi="Segoe UI" w:cs="Segoe UI"/>
          <w:color w:val="1E1F24"/>
          <w:shd w:val="clear" w:color="auto" w:fill="FFFFFF"/>
        </w:rPr>
      </w:pPr>
      <w:r>
        <w:rPr>
          <w:rFonts w:hint="eastAsia" w:ascii="Segoe UI" w:hAnsi="Segoe UI" w:cs="Segoe UI"/>
          <w:color w:val="1E1F24"/>
          <w:shd w:val="clear" w:color="auto" w:fill="FFFFFF"/>
        </w:rPr>
        <w:t>本研究以湖北省中医院</w:t>
      </w:r>
      <w:r>
        <w:rPr>
          <w:rFonts w:hint="eastAsia" w:ascii="Segoe UI" w:hAnsi="Segoe UI" w:cs="Segoe UI"/>
          <w:color w:val="1E1F24"/>
          <w:shd w:val="clear" w:color="auto" w:fill="FFFFFF"/>
          <w:lang w:val="en-US" w:eastAsia="zh-CN"/>
        </w:rPr>
        <w:t>脊柱微创科</w:t>
      </w:r>
      <w:r>
        <w:rPr>
          <w:rFonts w:hint="eastAsia" w:cs="Times New Roman"/>
          <w:color w:val="1E1F24"/>
          <w:shd w:val="clear" w:color="auto" w:fill="FFFFFF"/>
        </w:rPr>
        <w:t>20</w:t>
      </w:r>
      <w:r>
        <w:rPr>
          <w:rFonts w:hint="eastAsia" w:cs="Times New Roman"/>
          <w:color w:val="1E1F24"/>
          <w:shd w:val="clear" w:color="auto" w:fill="FFFFFF"/>
          <w:lang w:val="en-US" w:eastAsia="zh-CN"/>
        </w:rPr>
        <w:t>24</w:t>
      </w:r>
      <w:r>
        <w:rPr>
          <w:rFonts w:hint="eastAsia" w:cs="Times New Roman"/>
          <w:color w:val="1E1F24"/>
          <w:shd w:val="clear" w:color="auto" w:fill="FFFFFF"/>
        </w:rPr>
        <w:t>年</w:t>
      </w:r>
      <w:r>
        <w:rPr>
          <w:rFonts w:hint="eastAsia" w:cs="Times New Roman"/>
          <w:color w:val="1E1F24"/>
          <w:shd w:val="clear" w:color="auto" w:fill="FFFFFF"/>
          <w:lang w:val="en-US" w:eastAsia="zh-CN"/>
        </w:rPr>
        <w:t>2</w:t>
      </w:r>
      <w:r>
        <w:rPr>
          <w:rFonts w:hint="eastAsia" w:cs="Times New Roman"/>
          <w:color w:val="1E1F24"/>
          <w:shd w:val="clear" w:color="auto" w:fill="FFFFFF"/>
        </w:rPr>
        <w:t>月1日至</w:t>
      </w:r>
      <w:r>
        <w:rPr>
          <w:rFonts w:hint="eastAsia" w:cs="Times New Roman"/>
          <w:color w:val="1E1F24"/>
          <w:shd w:val="clear" w:color="auto" w:fill="FFFFFF"/>
          <w:lang w:val="en-US" w:eastAsia="zh-CN"/>
        </w:rPr>
        <w:t>2026</w:t>
      </w:r>
      <w:r>
        <w:rPr>
          <w:rFonts w:hint="eastAsia" w:cs="Times New Roman"/>
          <w:color w:val="1E1F24"/>
          <w:shd w:val="clear" w:color="auto" w:fill="FFFFFF"/>
        </w:rPr>
        <w:t>年</w:t>
      </w:r>
      <w:r>
        <w:rPr>
          <w:rFonts w:hint="eastAsia" w:cs="Times New Roman"/>
          <w:color w:val="1E1F24"/>
          <w:shd w:val="clear" w:color="auto" w:fill="FFFFFF"/>
          <w:lang w:val="en-US" w:eastAsia="zh-CN"/>
        </w:rPr>
        <w:t>2</w:t>
      </w:r>
      <w:r>
        <w:rPr>
          <w:rFonts w:hint="eastAsia" w:cs="Times New Roman"/>
          <w:color w:val="1E1F24"/>
          <w:shd w:val="clear" w:color="auto" w:fill="FFFFFF"/>
        </w:rPr>
        <w:t>月1日期间收治的</w:t>
      </w:r>
      <w:r>
        <w:rPr>
          <w:rFonts w:hint="eastAsia" w:cs="Times New Roman"/>
          <w:color w:val="1E1F24"/>
          <w:shd w:val="clear" w:color="auto" w:fill="FFFFFF"/>
          <w:lang w:val="en-US" w:eastAsia="zh-CN"/>
        </w:rPr>
        <w:t>腰椎间盘突出</w:t>
      </w:r>
      <w:r>
        <w:rPr>
          <w:rFonts w:cs="Times New Roman"/>
          <w:color w:val="1E1F24"/>
          <w:shd w:val="clear" w:color="auto" w:fill="FFFFFF"/>
        </w:rPr>
        <w:t>患者为研究对象，这些患者均接受了</w:t>
      </w:r>
      <w:r>
        <w:rPr>
          <w:rFonts w:hint="eastAsia" w:cs="Times New Roman"/>
          <w:color w:val="1E1F24"/>
          <w:shd w:val="clear" w:color="auto" w:fill="FFFFFF"/>
          <w:lang w:val="en-US" w:eastAsia="zh-CN"/>
        </w:rPr>
        <w:t>45°脊柱内镜手术</w:t>
      </w:r>
      <w:r>
        <w:rPr>
          <w:rFonts w:cs="Times New Roman"/>
          <w:color w:val="1E1F24"/>
          <w:shd w:val="clear" w:color="auto" w:fill="FFFFFF"/>
        </w:rPr>
        <w:t>治疗。在治疗过程中，部分患者</w:t>
      </w:r>
      <w:r>
        <w:rPr>
          <w:rFonts w:hint="eastAsia" w:cs="Times New Roman"/>
          <w:color w:val="1E1F24"/>
          <w:shd w:val="clear" w:color="auto" w:fill="FFFFFF"/>
          <w:lang w:val="en-US" w:eastAsia="zh-CN"/>
        </w:rPr>
        <w:t>术后未选择服用独活寄生汤</w:t>
      </w:r>
      <w:r>
        <w:rPr>
          <w:rFonts w:cs="Times New Roman"/>
          <w:color w:val="1E1F24"/>
          <w:shd w:val="clear" w:color="auto" w:fill="FFFFFF"/>
        </w:rPr>
        <w:t>，</w:t>
      </w:r>
      <w:r>
        <w:rPr>
          <w:rFonts w:hint="eastAsia" w:cs="Times New Roman"/>
          <w:color w:val="1E1F24"/>
          <w:shd w:val="clear" w:color="auto" w:fill="FFFFFF"/>
          <w:lang w:val="en-US" w:eastAsia="zh-CN"/>
        </w:rPr>
        <w:t>而选择服用尼美舒利胶囊继续治疗，</w:t>
      </w:r>
      <w:r>
        <w:rPr>
          <w:rFonts w:cs="Times New Roman"/>
          <w:color w:val="1E1F24"/>
          <w:shd w:val="clear" w:color="auto" w:fill="FFFFFF"/>
        </w:rPr>
        <w:t>而其余患者</w:t>
      </w:r>
      <w:r>
        <w:rPr>
          <w:rFonts w:hint="eastAsia" w:cs="Times New Roman"/>
          <w:color w:val="1E1F24"/>
          <w:shd w:val="clear" w:color="auto" w:fill="FFFFFF"/>
          <w:lang w:val="en-US" w:eastAsia="zh-CN"/>
        </w:rPr>
        <w:t>在术后选择独活寄生汤进一步治疗</w:t>
      </w:r>
      <w:r>
        <w:rPr>
          <w:rFonts w:cs="Times New Roman"/>
          <w:color w:val="1E1F24"/>
          <w:shd w:val="clear" w:color="auto" w:fill="FFFFFF"/>
        </w:rPr>
        <w:t>。为了深入探究</w:t>
      </w:r>
      <w:r>
        <w:rPr>
          <w:rFonts w:hint="eastAsia" w:cs="Times New Roman"/>
          <w:color w:val="1E1F24"/>
          <w:shd w:val="clear" w:color="auto" w:fill="FFFFFF"/>
          <w:lang w:val="en-US" w:eastAsia="zh-CN"/>
        </w:rPr>
        <w:t>在45°脊柱内镜术后联合独活寄生汤口服治疗的安全性和有效性</w:t>
      </w:r>
      <w:r>
        <w:rPr>
          <w:rFonts w:cs="Times New Roman"/>
          <w:color w:val="1E1F24"/>
          <w:shd w:val="clear" w:color="auto" w:fill="FFFFFF"/>
        </w:rPr>
        <w:t>，本研究对这些病例进行</w:t>
      </w:r>
      <w:r>
        <w:rPr>
          <w:rFonts w:hint="eastAsia" w:cs="Times New Roman"/>
          <w:color w:val="1E1F24"/>
          <w:shd w:val="clear" w:color="auto" w:fill="FFFFFF"/>
        </w:rPr>
        <w:t>回顾性研究，</w:t>
      </w:r>
      <w:r>
        <w:rPr>
          <w:rFonts w:cs="Times New Roman"/>
          <w:color w:val="1E1F24"/>
          <w:shd w:val="clear" w:color="auto" w:fill="FFFFFF"/>
        </w:rPr>
        <w:t>明确</w:t>
      </w:r>
      <w:r>
        <w:rPr>
          <w:rFonts w:hint="eastAsia" w:cs="Times New Roman"/>
          <w:color w:val="1E1F24"/>
          <w:shd w:val="clear" w:color="auto" w:fill="FFFFFF"/>
          <w:lang w:val="en-US" w:eastAsia="zh-CN"/>
        </w:rPr>
        <w:t>减轻或预防腰椎间盘突出症患者术后的残余症状的</w:t>
      </w:r>
      <w:r>
        <w:rPr>
          <w:rFonts w:cs="Times New Roman"/>
          <w:color w:val="1E1F24"/>
          <w:shd w:val="clear" w:color="auto" w:fill="FFFFFF"/>
        </w:rPr>
        <w:t>思路，为患者提供更</w:t>
      </w:r>
      <w:r>
        <w:rPr>
          <w:rFonts w:hint="eastAsia" w:cs="Times New Roman"/>
          <w:color w:val="1E1F24"/>
          <w:shd w:val="clear" w:color="auto" w:fill="FFFFFF"/>
        </w:rPr>
        <w:t>可靠、更舒适</w:t>
      </w:r>
      <w:r>
        <w:rPr>
          <w:rFonts w:cs="Times New Roman"/>
          <w:color w:val="1E1F24"/>
          <w:shd w:val="clear" w:color="auto" w:fill="FFFFFF"/>
        </w:rPr>
        <w:t>的</w:t>
      </w:r>
      <w:r>
        <w:rPr>
          <w:rFonts w:hint="eastAsia" w:cs="Times New Roman"/>
          <w:color w:val="1E1F24"/>
          <w:shd w:val="clear" w:color="auto" w:fill="FFFFFF"/>
        </w:rPr>
        <w:t>治疗</w:t>
      </w:r>
      <w:r>
        <w:rPr>
          <w:rFonts w:cs="Times New Roman"/>
          <w:color w:val="1E1F24"/>
          <w:shd w:val="clear" w:color="auto" w:fill="FFFFFF"/>
        </w:rPr>
        <w:t>方案</w:t>
      </w:r>
      <w:r>
        <w:rPr>
          <w:rFonts w:hint="eastAsia" w:ascii="Segoe UI" w:hAnsi="Segoe UI" w:cs="Segoe UI"/>
          <w:color w:val="1E1F24"/>
          <w:shd w:val="clear" w:color="auto" w:fill="FFFFFF"/>
        </w:rPr>
        <w:t>。</w:t>
      </w:r>
    </w:p>
    <w:p>
      <w:pPr>
        <w:numPr>
          <w:ilvl w:val="0"/>
          <w:numId w:val="0"/>
        </w:numPr>
        <w:ind w:firstLine="420" w:firstLineChars="200"/>
        <w:rPr>
          <w:rFonts w:hint="eastAsia" w:ascii="Segoe UI" w:hAnsi="Segoe UI" w:cs="Segoe UI"/>
          <w:color w:val="1E1F24"/>
          <w:shd w:val="clear" w:color="auto" w:fill="FFFFFF"/>
          <w:lang w:val="en-US" w:eastAsia="zh-CN"/>
        </w:rPr>
      </w:pPr>
    </w:p>
    <w:p>
      <w:pPr>
        <w:numPr>
          <w:ilvl w:val="0"/>
          <w:numId w:val="2"/>
        </w:numPr>
        <w:ind w:left="0" w:leftChars="0" w:firstLine="0" w:firstLineChars="0"/>
        <w:rPr>
          <w:rFonts w:hint="eastAsia"/>
          <w:b/>
          <w:bCs/>
        </w:rPr>
      </w:pPr>
      <w:r>
        <w:rPr>
          <w:rFonts w:hint="eastAsia"/>
          <w:b/>
          <w:bCs/>
        </w:rPr>
        <w:t>研究方法</w:t>
      </w:r>
    </w:p>
    <w:p>
      <w:pPr>
        <w:numPr>
          <w:ilvl w:val="0"/>
          <w:numId w:val="0"/>
        </w:numPr>
        <w:ind w:leftChars="0"/>
        <w:rPr>
          <w:rFonts w:hint="eastAsia"/>
          <w:b/>
          <w:bCs/>
        </w:rPr>
      </w:pPr>
    </w:p>
    <w:p>
      <w:pPr>
        <w:rPr>
          <w:rFonts w:hint="eastAsia"/>
          <w:b/>
          <w:bCs/>
        </w:rPr>
      </w:pPr>
      <w:r>
        <w:rPr>
          <w:rFonts w:hint="eastAsia"/>
          <w:b/>
          <w:bCs/>
        </w:rPr>
        <w:t>1.总体研究类型</w:t>
      </w:r>
    </w:p>
    <w:p>
      <w:pPr>
        <w:ind w:firstLine="420" w:firstLineChars="200"/>
        <w:rPr>
          <w:rFonts w:hint="eastAsia"/>
        </w:rPr>
      </w:pPr>
      <w:r>
        <w:rPr>
          <w:rFonts w:hint="eastAsia"/>
        </w:rPr>
        <w:t>本研究为2组、单中心、回顾性研究。</w:t>
      </w:r>
    </w:p>
    <w:p>
      <w:pPr>
        <w:ind w:firstLine="420" w:firstLineChars="200"/>
        <w:rPr>
          <w:rFonts w:hint="eastAsia"/>
        </w:rPr>
      </w:pPr>
    </w:p>
    <w:p>
      <w:pPr>
        <w:rPr>
          <w:b/>
          <w:bCs/>
        </w:rPr>
      </w:pPr>
      <w:r>
        <w:rPr>
          <w:rFonts w:hint="eastAsia"/>
          <w:b/>
          <w:bCs/>
        </w:rPr>
        <w:t>2.对照组设置及依据</w:t>
      </w:r>
    </w:p>
    <w:p>
      <w:pPr>
        <w:ind w:firstLine="420" w:firstLineChars="200"/>
        <w:rPr>
          <w:rFonts w:hint="eastAsia"/>
        </w:rPr>
      </w:pPr>
      <w:r>
        <w:rPr>
          <w:rFonts w:hint="eastAsia"/>
        </w:rPr>
        <w:t>本研究对对照组予</w:t>
      </w:r>
      <w:r>
        <w:rPr>
          <w:rFonts w:hint="eastAsia"/>
          <w:lang w:val="en-US" w:eastAsia="zh-CN"/>
        </w:rPr>
        <w:t>术后口服尼美舒利胶囊治疗</w:t>
      </w:r>
      <w:r>
        <w:rPr>
          <w:rFonts w:hint="eastAsia"/>
        </w:rPr>
        <w:t>，试验组为</w:t>
      </w:r>
      <w:r>
        <w:rPr>
          <w:rFonts w:hint="eastAsia"/>
          <w:lang w:val="en-US" w:eastAsia="zh-CN"/>
        </w:rPr>
        <w:t>术后口服独活寄生汤治疗</w:t>
      </w:r>
      <w:r>
        <w:rPr>
          <w:rFonts w:hint="eastAsia"/>
        </w:rPr>
        <w:t>，本研究采用</w:t>
      </w:r>
      <w:r>
        <w:rPr>
          <w:rFonts w:hint="eastAsia"/>
          <w:lang w:val="en-US" w:eastAsia="zh-CN"/>
        </w:rPr>
        <w:t>术后服用尼美舒利胶囊</w:t>
      </w:r>
      <w:r>
        <w:rPr>
          <w:rFonts w:hint="eastAsia"/>
        </w:rPr>
        <w:t>与</w:t>
      </w:r>
      <w:r>
        <w:rPr>
          <w:rFonts w:hint="eastAsia"/>
          <w:lang w:val="en-US" w:eastAsia="zh-CN"/>
        </w:rPr>
        <w:t>独活寄生汤</w:t>
      </w:r>
      <w:r>
        <w:rPr>
          <w:rFonts w:hint="eastAsia"/>
        </w:rPr>
        <w:t>相对照，不影响接受者接受常规治疗的权益。</w:t>
      </w:r>
    </w:p>
    <w:p>
      <w:pPr>
        <w:rPr>
          <w:rFonts w:hint="eastAsia"/>
          <w:b/>
          <w:bCs/>
        </w:rPr>
      </w:pPr>
    </w:p>
    <w:p>
      <w:r>
        <w:rPr>
          <w:rFonts w:hint="eastAsia"/>
          <w:b/>
          <w:bCs/>
        </w:rPr>
        <w:t>3.纳入及排除标准</w:t>
      </w:r>
    </w:p>
    <w:p>
      <w:pPr>
        <w:ind w:firstLine="422" w:firstLineChars="200"/>
        <w:rPr>
          <w:rFonts w:hint="eastAsia"/>
          <w:b/>
          <w:bCs/>
        </w:rPr>
      </w:pPr>
      <w:r>
        <w:rPr>
          <w:rFonts w:hint="eastAsia"/>
          <w:b/>
          <w:bCs/>
        </w:rPr>
        <w:t>纳入标准：</w:t>
      </w:r>
    </w:p>
    <w:p>
      <w:pPr>
        <w:numPr>
          <w:ilvl w:val="0"/>
          <w:numId w:val="3"/>
        </w:numPr>
        <w:rPr>
          <w:rFonts w:hint="eastAsia" w:eastAsiaTheme="minorEastAsia"/>
          <w:b/>
          <w:bCs/>
          <w:lang w:val="en-US" w:eastAsia="zh-CN"/>
        </w:rPr>
      </w:pPr>
      <w:r>
        <w:rPr>
          <w:rFonts w:hint="eastAsia"/>
          <w:szCs w:val="21"/>
          <w:lang w:val="en-US" w:eastAsia="zh-CN"/>
        </w:rPr>
        <w:t>年龄18-80岁；</w:t>
      </w:r>
    </w:p>
    <w:p>
      <w:pPr>
        <w:numPr>
          <w:ilvl w:val="0"/>
          <w:numId w:val="3"/>
        </w:numPr>
        <w:rPr>
          <w:rFonts w:hint="eastAsia" w:eastAsiaTheme="minorEastAsia"/>
          <w:b/>
          <w:bCs/>
          <w:lang w:val="en-US" w:eastAsia="zh-CN"/>
        </w:rPr>
      </w:pPr>
      <w:r>
        <w:rPr>
          <w:rFonts w:hint="eastAsia"/>
          <w:szCs w:val="21"/>
          <w:lang w:val="en-US" w:eastAsia="zh-CN"/>
        </w:rPr>
        <w:t>保守治疗3个月无效，接受45°脊柱内镜手术治疗；</w:t>
      </w:r>
    </w:p>
    <w:p>
      <w:pPr>
        <w:numPr>
          <w:ilvl w:val="0"/>
          <w:numId w:val="3"/>
        </w:numPr>
        <w:rPr>
          <w:rFonts w:ascii="Times New Roman" w:hAnsi="Times New Roman" w:cs="Times New Roman"/>
          <w:szCs w:val="21"/>
        </w:rPr>
      </w:pPr>
      <w:r>
        <w:rPr>
          <w:rFonts w:ascii="Times New Roman" w:hAnsi="Times New Roman" w:cs="Times New Roman"/>
          <w:szCs w:val="21"/>
        </w:rPr>
        <w:t>影像学上有显示相应节段神经根受压、且影像学表现及临床症状一致。</w:t>
      </w:r>
    </w:p>
    <w:p>
      <w:pPr>
        <w:numPr>
          <w:ilvl w:val="0"/>
          <w:numId w:val="3"/>
        </w:numPr>
        <w:rPr>
          <w:rFonts w:ascii="Times New Roman" w:hAnsi="Times New Roman" w:cs="Times New Roman"/>
          <w:szCs w:val="21"/>
        </w:rPr>
      </w:pPr>
      <w:r>
        <w:rPr>
          <w:rFonts w:hint="eastAsia" w:ascii="Times New Roman" w:hAnsi="Times New Roman" w:cs="Times New Roman"/>
          <w:szCs w:val="21"/>
          <w:lang w:val="en-US" w:eastAsia="zh-CN"/>
        </w:rPr>
        <w:t>根据</w:t>
      </w:r>
      <w:r>
        <w:rPr>
          <w:rFonts w:ascii="Times New Roman" w:hAnsi="Times New Roman" w:cs="Times New Roman"/>
        </w:rPr>
        <w:t>中医病证诊断疗效标准</w:t>
      </w:r>
      <w:r>
        <w:rPr>
          <w:rFonts w:hint="eastAsia" w:ascii="Times New Roman" w:hAnsi="Times New Roman" w:cs="Times New Roman"/>
          <w:lang w:eastAsia="zh-CN"/>
        </w:rPr>
        <w:t>，</w:t>
      </w:r>
      <w:r>
        <w:rPr>
          <w:rFonts w:hint="eastAsia" w:ascii="Times New Roman" w:hAnsi="Times New Roman" w:cs="Times New Roman"/>
          <w:lang w:val="en-US" w:eastAsia="zh-CN"/>
        </w:rPr>
        <w:t>诊断为寒湿痹阻型。具体如下：</w:t>
      </w:r>
      <w:r>
        <w:rPr>
          <w:rFonts w:ascii="Times New Roman" w:hAnsi="Times New Roman" w:cs="Times New Roman"/>
          <w:szCs w:val="21"/>
        </w:rPr>
        <w:t>腰腿部冷痛重着；痛有定处，日轻夜重；遇疼痛寒痛增，遇热则减；舌质胖淡，苔薄或白腻；脉弦紧、弦缓或沉紧。满足三项即可诊断为寒湿痹阻型。</w:t>
      </w:r>
    </w:p>
    <w:p>
      <w:pPr>
        <w:numPr>
          <w:ilvl w:val="0"/>
          <w:numId w:val="0"/>
        </w:numPr>
        <w:rPr>
          <w:rFonts w:hint="eastAsia" w:eastAsiaTheme="minorEastAsia"/>
          <w:b/>
          <w:bCs/>
          <w:lang w:val="en-US" w:eastAsia="zh-CN"/>
        </w:rPr>
      </w:pPr>
    </w:p>
    <w:p>
      <w:pPr>
        <w:ind w:firstLine="422" w:firstLineChars="200"/>
        <w:rPr>
          <w:rFonts w:hint="eastAsia"/>
          <w:b/>
          <w:bCs/>
        </w:rPr>
      </w:pPr>
      <w:r>
        <w:rPr>
          <w:rFonts w:hint="eastAsia"/>
          <w:b/>
          <w:bCs/>
        </w:rPr>
        <w:t>排除标准：</w:t>
      </w:r>
    </w:p>
    <w:p>
      <w:pPr>
        <w:numPr>
          <w:ilvl w:val="0"/>
          <w:numId w:val="4"/>
        </w:numPr>
        <w:rPr>
          <w:rFonts w:hint="default" w:eastAsiaTheme="minorEastAsia"/>
          <w:b w:val="0"/>
          <w:bCs w:val="0"/>
          <w:lang w:val="en-US" w:eastAsia="zh-CN"/>
        </w:rPr>
      </w:pPr>
      <w:r>
        <w:rPr>
          <w:rFonts w:ascii="Times New Roman" w:hAnsi="Times New Roman" w:cs="Times New Roman"/>
          <w:szCs w:val="21"/>
        </w:rPr>
        <w:t>腰椎峡部裂滑脱、脊柱严重结构性异常者。</w:t>
      </w:r>
    </w:p>
    <w:p>
      <w:pPr>
        <w:numPr>
          <w:ilvl w:val="0"/>
          <w:numId w:val="4"/>
        </w:numPr>
        <w:rPr>
          <w:rFonts w:hint="default" w:eastAsiaTheme="minorEastAsia"/>
          <w:b w:val="0"/>
          <w:bCs w:val="0"/>
          <w:lang w:val="en-US" w:eastAsia="zh-CN"/>
        </w:rPr>
      </w:pPr>
      <w:r>
        <w:rPr>
          <w:rFonts w:ascii="Times New Roman" w:hAnsi="Times New Roman" w:cs="Times New Roman"/>
          <w:szCs w:val="21"/>
        </w:rPr>
        <w:t>多个节段腰椎间盘突出，无法判定责任节段者。</w:t>
      </w:r>
    </w:p>
    <w:p>
      <w:pPr>
        <w:numPr>
          <w:ilvl w:val="0"/>
          <w:numId w:val="4"/>
        </w:numPr>
        <w:rPr>
          <w:rFonts w:hint="default" w:eastAsiaTheme="minorEastAsia"/>
          <w:b w:val="0"/>
          <w:bCs w:val="0"/>
          <w:lang w:val="en-US" w:eastAsia="zh-CN"/>
        </w:rPr>
      </w:pPr>
      <w:r>
        <w:rPr>
          <w:rFonts w:ascii="Times New Roman" w:hAnsi="Times New Roman" w:cs="Times New Roman"/>
          <w:szCs w:val="21"/>
        </w:rPr>
        <w:t>突出腰椎间盘节段有腰椎融合手术病史。</w:t>
      </w:r>
    </w:p>
    <w:p>
      <w:pPr>
        <w:numPr>
          <w:ilvl w:val="0"/>
          <w:numId w:val="4"/>
        </w:numPr>
        <w:rPr>
          <w:rFonts w:hint="default" w:eastAsiaTheme="minorEastAsia"/>
          <w:b w:val="0"/>
          <w:bCs w:val="0"/>
          <w:lang w:val="en-US" w:eastAsia="zh-CN"/>
        </w:rPr>
      </w:pPr>
      <w:r>
        <w:rPr>
          <w:rFonts w:ascii="Times New Roman" w:hAnsi="Times New Roman" w:cs="Times New Roman"/>
          <w:szCs w:val="21"/>
        </w:rPr>
        <w:t>有腰椎结核、感染、腰背部皮损</w:t>
      </w:r>
      <w:r>
        <w:rPr>
          <w:rFonts w:hint="eastAsia" w:ascii="Times New Roman" w:hAnsi="Times New Roman" w:cs="Times New Roman"/>
          <w:szCs w:val="21"/>
        </w:rPr>
        <w:t>、过敏</w:t>
      </w:r>
      <w:r>
        <w:rPr>
          <w:rFonts w:ascii="Times New Roman" w:hAnsi="Times New Roman" w:cs="Times New Roman"/>
          <w:szCs w:val="21"/>
        </w:rPr>
        <w:t>等。</w:t>
      </w:r>
    </w:p>
    <w:p>
      <w:pPr>
        <w:numPr>
          <w:ilvl w:val="0"/>
          <w:numId w:val="4"/>
        </w:numPr>
        <w:rPr>
          <w:rFonts w:hint="default" w:eastAsiaTheme="minorEastAsia"/>
          <w:b w:val="0"/>
          <w:bCs w:val="0"/>
          <w:lang w:val="en-US" w:eastAsia="zh-CN"/>
        </w:rPr>
      </w:pPr>
      <w:r>
        <w:rPr>
          <w:rFonts w:ascii="Times New Roman" w:hAnsi="Times New Roman" w:cs="Times New Roman"/>
          <w:szCs w:val="21"/>
        </w:rPr>
        <w:t>存在心脏病等严重基础疾病而无法耐受长时间俯卧位体位者。</w:t>
      </w:r>
    </w:p>
    <w:p>
      <w:pPr>
        <w:numPr>
          <w:ilvl w:val="0"/>
          <w:numId w:val="0"/>
        </w:numPr>
        <w:rPr>
          <w:rFonts w:ascii="Times New Roman" w:hAnsi="Times New Roman" w:cs="Times New Roman"/>
          <w:szCs w:val="21"/>
        </w:rPr>
      </w:pPr>
    </w:p>
    <w:p>
      <w:pPr>
        <w:rPr>
          <w:b/>
          <w:bCs/>
        </w:rPr>
      </w:pPr>
      <w:r>
        <w:rPr>
          <w:rFonts w:hint="eastAsia"/>
          <w:b/>
          <w:bCs/>
        </w:rPr>
        <w:t>4.样本量估算</w:t>
      </w:r>
    </w:p>
    <w:p>
      <w:pPr>
        <w:ind w:firstLine="420" w:firstLineChars="200"/>
      </w:pPr>
      <w:r>
        <w:t>预期效应大小：根据前期研究或临床经验，假设</w:t>
      </w:r>
      <w:r>
        <w:rPr>
          <w:rFonts w:hint="eastAsia"/>
          <w:lang w:val="en-US" w:eastAsia="zh-CN"/>
        </w:rPr>
        <w:t>试</w:t>
      </w:r>
      <w:r>
        <w:t>验组的</w:t>
      </w:r>
      <w:r>
        <w:rPr>
          <w:rFonts w:hint="eastAsia"/>
          <w:lang w:val="en-US" w:eastAsia="zh-CN"/>
        </w:rPr>
        <w:t>VAS</w:t>
      </w:r>
      <w:r>
        <w:t>评分平均值比对照组低1.5分。</w:t>
      </w:r>
      <w:r>
        <w:rPr>
          <w:rFonts w:hint="eastAsia"/>
          <w:lang w:val="en-US" w:eastAsia="zh-CN"/>
        </w:rPr>
        <w:t>试验</w:t>
      </w:r>
      <w:r>
        <w:t>组平均评分：μ1</w:t>
      </w:r>
      <w:r>
        <w:rPr>
          <w:rFonts w:hint="eastAsia"/>
        </w:rPr>
        <w:t>；</w:t>
      </w:r>
      <w:r>
        <w:t>对照组平均评分：μ2</w:t>
      </w:r>
      <w:r>
        <w:rPr>
          <w:rFonts w:hint="eastAsia"/>
        </w:rPr>
        <w:t>；</w:t>
      </w:r>
      <w:r>
        <w:t>预期差异：Δ=</w:t>
      </w:r>
      <w:r>
        <w:rPr>
          <w:rFonts w:ascii="Cambria Math" w:hAnsi="Cambria Math" w:cs="Cambria Math"/>
        </w:rPr>
        <w:t>𝜇</w:t>
      </w:r>
      <w:r>
        <w:t>2−</w:t>
      </w:r>
      <w:r>
        <w:rPr>
          <w:rFonts w:ascii="Cambria Math" w:hAnsi="Cambria Math" w:cs="Cambria Math"/>
        </w:rPr>
        <w:t>𝜇</w:t>
      </w:r>
      <w:r>
        <w:t>1=1.5</w:t>
      </w:r>
      <w:r>
        <w:rPr>
          <w:rFonts w:hint="eastAsia"/>
        </w:rPr>
        <w:t>；</w:t>
      </w:r>
      <w:r>
        <w:t>标准差：假设</w:t>
      </w:r>
      <w:r>
        <w:rPr>
          <w:rFonts w:hint="eastAsia"/>
          <w:lang w:val="en-US" w:eastAsia="zh-CN"/>
        </w:rPr>
        <w:t>VAS</w:t>
      </w:r>
      <w:r>
        <w:t>评分的标准差为3.5分。σ=3.5</w:t>
      </w:r>
      <w:r>
        <w:rPr>
          <w:rFonts w:hint="eastAsia"/>
        </w:rPr>
        <w:t>；</w:t>
      </w:r>
      <w:r>
        <w:t>统计效能（Power）：通常选择统计效能为80%（即β=0.20），这意味着当实际存在差异时，有80%的概率能够检测到这种差异。显著性水平（α）：通常设置为0.05，意味着当实际上没有差异时，错误地拒绝原假设的概率为5%。</w:t>
      </w:r>
    </w:p>
    <w:p>
      <w:pPr>
        <w:ind w:firstLine="420" w:firstLineChars="200"/>
      </w:pPr>
      <w:r>
        <w:t>使用上述参数，可以通过手动计算来确定所需的样本量。这里采用公式法简单说明：</w:t>
      </w:r>
      <w:r>
        <w:drawing>
          <wp:inline distT="0" distB="0" distL="0" distR="0">
            <wp:extent cx="946150" cy="251460"/>
            <wp:effectExtent l="0" t="0" r="13970" b="7620"/>
            <wp:docPr id="111773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9648" name="图片 1"/>
                    <pic:cNvPicPr>
                      <a:picLocks noChangeAspect="1"/>
                    </pic:cNvPicPr>
                  </pic:nvPicPr>
                  <pic:blipFill>
                    <a:blip r:embed="rId4"/>
                    <a:stretch>
                      <a:fillRect/>
                    </a:stretch>
                  </pic:blipFill>
                  <pic:spPr>
                    <a:xfrm>
                      <a:off x="0" y="0"/>
                      <a:ext cx="970708" cy="257844"/>
                    </a:xfrm>
                    <a:prstGeom prst="rect">
                      <a:avLst/>
                    </a:prstGeom>
                  </pic:spPr>
                </pic:pic>
              </a:graphicData>
            </a:graphic>
          </wp:inline>
        </w:drawing>
      </w:r>
      <w:r>
        <w:rPr>
          <w:rFonts w:hint="eastAsia"/>
        </w:rPr>
        <w:t xml:space="preserve">  </w:t>
      </w:r>
      <w:r>
        <w:t>其中：</w:t>
      </w:r>
      <w:r>
        <w:rPr>
          <w:rFonts w:ascii="Cambria Math" w:hAnsi="Cambria Math" w:cs="Cambria Math"/>
        </w:rPr>
        <w:t>𝑍</w:t>
      </w:r>
      <w:r>
        <w:t>1−</w:t>
      </w:r>
      <w:r>
        <w:rPr>
          <w:rFonts w:ascii="Cambria Math" w:hAnsi="Cambria Math" w:cs="Cambria Math"/>
        </w:rPr>
        <w:t>𝛼</w:t>
      </w:r>
      <w:r>
        <w:t>/2是标准正态分布下1-α/2对应的值，对于双侧检验α=0.05，</w:t>
      </w:r>
      <w:r>
        <w:rPr>
          <w:rFonts w:ascii="Cambria Math" w:hAnsi="Cambria Math" w:cs="Cambria Math"/>
        </w:rPr>
        <w:t>𝑍</w:t>
      </w:r>
      <w:r>
        <w:rPr>
          <w:vertAlign w:val="subscript"/>
        </w:rPr>
        <w:t>1−</w:t>
      </w:r>
      <w:r>
        <w:rPr>
          <w:rFonts w:hint="eastAsia"/>
          <w:vertAlign w:val="subscript"/>
        </w:rPr>
        <w:t>0.025</w:t>
      </w:r>
      <w:r>
        <w:t>=1.96。Z</w:t>
      </w:r>
      <w:r>
        <w:rPr>
          <w:vertAlign w:val="subscript"/>
        </w:rPr>
        <w:t>1−β</w:t>
      </w:r>
      <w:r>
        <w:t>是标准正态分布下1-β对应的值，对于80%的统计效能，</w:t>
      </w:r>
      <w:r>
        <w:rPr>
          <w:rFonts w:ascii="Cambria Math" w:hAnsi="Cambria Math" w:cs="Cambria Math"/>
        </w:rPr>
        <w:t>𝑍</w:t>
      </w:r>
      <w:r>
        <w:rPr>
          <w:vertAlign w:val="subscript"/>
        </w:rPr>
        <w:t>1−0.20</w:t>
      </w:r>
      <w:r>
        <w:t>=0.84。Δ是两组间的预期差异，即1.5分。σ是</w:t>
      </w:r>
      <w:r>
        <w:rPr>
          <w:rFonts w:hint="eastAsia"/>
          <w:lang w:val="en-US" w:eastAsia="zh-CN"/>
        </w:rPr>
        <w:t>VAS</w:t>
      </w:r>
      <w:r>
        <w:t>评分的标准差，即3.5分。</w:t>
      </w:r>
    </w:p>
    <w:p>
      <w:pPr>
        <w:ind w:firstLine="420" w:firstLineChars="200"/>
      </w:pPr>
      <w:r>
        <w:t>代入数值计算得：</w:t>
      </w:r>
      <w:r>
        <w:drawing>
          <wp:inline distT="0" distB="0" distL="0" distR="0">
            <wp:extent cx="990600" cy="248285"/>
            <wp:effectExtent l="0" t="0" r="0" b="10795"/>
            <wp:docPr id="221740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40209" name="图片 1"/>
                    <pic:cNvPicPr>
                      <a:picLocks noChangeAspect="1"/>
                    </pic:cNvPicPr>
                  </pic:nvPicPr>
                  <pic:blipFill>
                    <a:blip r:embed="rId5"/>
                    <a:stretch>
                      <a:fillRect/>
                    </a:stretch>
                  </pic:blipFill>
                  <pic:spPr>
                    <a:xfrm>
                      <a:off x="0" y="0"/>
                      <a:ext cx="1028204" cy="258317"/>
                    </a:xfrm>
                    <a:prstGeom prst="rect">
                      <a:avLst/>
                    </a:prstGeom>
                  </pic:spPr>
                </pic:pic>
              </a:graphicData>
            </a:graphic>
          </wp:inline>
        </w:drawing>
      </w:r>
      <w:r>
        <w:t>首先计算分子：</w:t>
      </w:r>
      <w:r>
        <w:drawing>
          <wp:inline distT="0" distB="0" distL="0" distR="0">
            <wp:extent cx="1295400" cy="170180"/>
            <wp:effectExtent l="0" t="0" r="0" b="12700"/>
            <wp:docPr id="56765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59060" name="图片 1"/>
                    <pic:cNvPicPr>
                      <a:picLocks noChangeAspect="1"/>
                    </pic:cNvPicPr>
                  </pic:nvPicPr>
                  <pic:blipFill>
                    <a:blip r:embed="rId6"/>
                    <a:stretch>
                      <a:fillRect/>
                    </a:stretch>
                  </pic:blipFill>
                  <pic:spPr>
                    <a:xfrm>
                      <a:off x="0" y="0"/>
                      <a:ext cx="1328504" cy="174974"/>
                    </a:xfrm>
                    <a:prstGeom prst="rect">
                      <a:avLst/>
                    </a:prstGeom>
                  </pic:spPr>
                </pic:pic>
              </a:graphicData>
            </a:graphic>
          </wp:inline>
        </w:drawing>
      </w:r>
      <w:r>
        <w:t>然后计算分母：</w:t>
      </w:r>
      <w:r>
        <w:drawing>
          <wp:inline distT="0" distB="0" distL="0" distR="0">
            <wp:extent cx="833755" cy="227965"/>
            <wp:effectExtent l="0" t="0" r="4445" b="635"/>
            <wp:docPr id="252018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18397" name="图片 1"/>
                    <pic:cNvPicPr>
                      <a:picLocks noChangeAspect="1"/>
                    </pic:cNvPicPr>
                  </pic:nvPicPr>
                  <pic:blipFill>
                    <a:blip r:embed="rId7"/>
                    <a:stretch>
                      <a:fillRect/>
                    </a:stretch>
                  </pic:blipFill>
                  <pic:spPr>
                    <a:xfrm>
                      <a:off x="0" y="0"/>
                      <a:ext cx="860581" cy="235226"/>
                    </a:xfrm>
                    <a:prstGeom prst="rect">
                      <a:avLst/>
                    </a:prstGeom>
                  </pic:spPr>
                </pic:pic>
              </a:graphicData>
            </a:graphic>
          </wp:inline>
        </w:drawing>
      </w:r>
      <w:r>
        <w:t>接下来计算整个表达式：</w:t>
      </w:r>
      <w:r>
        <w:drawing>
          <wp:inline distT="0" distB="0" distL="0" distR="0">
            <wp:extent cx="2078990" cy="269875"/>
            <wp:effectExtent l="0" t="0" r="8890" b="4445"/>
            <wp:docPr id="1705261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61604" name="图片 1"/>
                    <pic:cNvPicPr>
                      <a:picLocks noChangeAspect="1"/>
                    </pic:cNvPicPr>
                  </pic:nvPicPr>
                  <pic:blipFill>
                    <a:blip r:embed="rId8"/>
                    <a:stretch>
                      <a:fillRect/>
                    </a:stretch>
                  </pic:blipFill>
                  <pic:spPr>
                    <a:xfrm>
                      <a:off x="0" y="0"/>
                      <a:ext cx="2127284" cy="276427"/>
                    </a:xfrm>
                    <a:prstGeom prst="rect">
                      <a:avLst/>
                    </a:prstGeom>
                  </pic:spPr>
                </pic:pic>
              </a:graphicData>
            </a:graphic>
          </wp:inline>
        </w:drawing>
      </w:r>
      <w:r>
        <w:t>为了确保研究的实际样本量能够满足统计要求，需要考虑样本流失率。假设流失率为10%，则每组需要的样本量为：</w:t>
      </w:r>
      <w:r>
        <w:drawing>
          <wp:inline distT="0" distB="0" distL="0" distR="0">
            <wp:extent cx="2830195" cy="334010"/>
            <wp:effectExtent l="0" t="0" r="4445" b="1270"/>
            <wp:docPr id="41404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46768" name="图片 1"/>
                    <pic:cNvPicPr>
                      <a:picLocks noChangeAspect="1"/>
                    </pic:cNvPicPr>
                  </pic:nvPicPr>
                  <pic:blipFill>
                    <a:blip r:embed="rId9"/>
                    <a:stretch>
                      <a:fillRect/>
                    </a:stretch>
                  </pic:blipFill>
                  <pic:spPr>
                    <a:xfrm>
                      <a:off x="0" y="0"/>
                      <a:ext cx="2887814" cy="341230"/>
                    </a:xfrm>
                    <a:prstGeom prst="rect">
                      <a:avLst/>
                    </a:prstGeom>
                  </pic:spPr>
                </pic:pic>
              </a:graphicData>
            </a:graphic>
          </wp:inline>
        </w:drawing>
      </w:r>
      <w:r>
        <w:rPr>
          <w:rFonts w:hint="eastAsia"/>
        </w:rPr>
        <w:t>。</w:t>
      </w:r>
      <w:r>
        <w:t>为了更加保守，我们取整数并适当增加一些额外的样本量，最终确定每组样本量为</w:t>
      </w:r>
      <w:r>
        <w:rPr>
          <w:rFonts w:hint="eastAsia"/>
        </w:rPr>
        <w:t>60</w:t>
      </w:r>
      <w:r>
        <w:t>人，总计</w:t>
      </w:r>
      <w:r>
        <w:rPr>
          <w:rFonts w:hint="eastAsia"/>
        </w:rPr>
        <w:t>120</w:t>
      </w:r>
      <w:r>
        <w:t>人。</w:t>
      </w:r>
    </w:p>
    <w:p>
      <w:pPr>
        <w:numPr>
          <w:ilvl w:val="0"/>
          <w:numId w:val="0"/>
        </w:numPr>
        <w:rPr>
          <w:rFonts w:hint="default" w:ascii="Times New Roman" w:hAnsi="Times New Roman" w:cs="Times New Roman"/>
          <w:szCs w:val="21"/>
          <w:lang w:val="en-US" w:eastAsia="zh-CN"/>
        </w:rPr>
      </w:pPr>
    </w:p>
    <w:p>
      <w:pPr>
        <w:rPr>
          <w:b/>
          <w:bCs/>
        </w:rPr>
      </w:pPr>
      <w:r>
        <w:rPr>
          <w:rFonts w:hint="eastAsia"/>
          <w:b/>
          <w:bCs/>
        </w:rPr>
        <w:t>5.分组及方法</w:t>
      </w:r>
    </w:p>
    <w:p>
      <w:pPr>
        <w:numPr>
          <w:ilvl w:val="0"/>
          <w:numId w:val="0"/>
        </w:numPr>
        <w:ind w:firstLine="420" w:firstLineChars="200"/>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试验组：术后服用独活寄生汤治疗，其余常规治疗；</w:t>
      </w:r>
    </w:p>
    <w:p>
      <w:pPr>
        <w:numPr>
          <w:ilvl w:val="0"/>
          <w:numId w:val="0"/>
        </w:numPr>
        <w:ind w:firstLine="420" w:firstLineChars="200"/>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对照组：术后服用尼美舒利胶囊治疗，其余常规治疗；</w:t>
      </w:r>
    </w:p>
    <w:p>
      <w:pPr>
        <w:numPr>
          <w:ilvl w:val="0"/>
          <w:numId w:val="0"/>
        </w:numPr>
        <w:ind w:firstLine="420" w:firstLineChars="200"/>
        <w:rPr>
          <w:rFonts w:hint="eastAsia"/>
        </w:rPr>
      </w:pPr>
      <w:r>
        <w:rPr>
          <w:rFonts w:hint="eastAsia"/>
        </w:rPr>
        <w:t>分组方法：本研究分组根据患者</w:t>
      </w:r>
      <w:r>
        <w:rPr>
          <w:rFonts w:hint="eastAsia"/>
          <w:lang w:val="en-US" w:eastAsia="zh-CN"/>
        </w:rPr>
        <w:t>术后选择服用的药物不同</w:t>
      </w:r>
      <w:r>
        <w:rPr>
          <w:rFonts w:hint="eastAsia"/>
        </w:rPr>
        <w:t>，分为</w:t>
      </w:r>
      <w:r>
        <w:rPr>
          <w:rFonts w:hint="eastAsia"/>
          <w:lang w:val="en-US" w:eastAsia="zh-CN"/>
        </w:rPr>
        <w:t>试验组</w:t>
      </w:r>
      <w:r>
        <w:rPr>
          <w:rFonts w:hint="eastAsia"/>
        </w:rPr>
        <w:t>和对照组（不涉及随机和盲法）。</w:t>
      </w:r>
    </w:p>
    <w:p>
      <w:pPr>
        <w:ind w:firstLine="420" w:firstLineChars="200"/>
        <w:rPr>
          <w:rFonts w:ascii="Times New Roman" w:hAnsi="Times New Roman" w:cs="Times New Roman"/>
          <w:szCs w:val="21"/>
        </w:rPr>
      </w:pPr>
      <w:r>
        <w:rPr>
          <w:rFonts w:hint="eastAsia"/>
          <w:lang w:val="en-US" w:eastAsia="zh-CN"/>
        </w:rPr>
        <w:t>45脊柱内镜技术</w:t>
      </w:r>
      <w:r>
        <w:rPr>
          <w:rFonts w:hint="eastAsia"/>
        </w:rPr>
        <w:t>手术方法：</w:t>
      </w:r>
      <w:r>
        <w:rPr>
          <w:rFonts w:hint="eastAsia" w:ascii="Times New Roman" w:hAnsi="Times New Roman" w:cs="Times New Roman"/>
          <w:szCs w:val="21"/>
          <w:lang w:eastAsia="zh-CN"/>
        </w:rPr>
        <w:t>（</w:t>
      </w:r>
      <w:r>
        <w:rPr>
          <w:rFonts w:hint="eastAsia" w:ascii="Times New Roman" w:hAnsi="Times New Roman" w:cs="Times New Roman"/>
          <w:szCs w:val="21"/>
          <w:lang w:val="en-US" w:eastAsia="zh-CN"/>
        </w:rPr>
        <w:t>1）</w:t>
      </w:r>
      <w:r>
        <w:rPr>
          <w:rFonts w:ascii="Times New Roman" w:hAnsi="Times New Roman" w:cs="Times New Roman"/>
          <w:szCs w:val="21"/>
        </w:rPr>
        <w:t>体位、麻醉与消毒：患者俯卧位，采用局部浸润麻醉，使用</w:t>
      </w:r>
      <w:r>
        <w:rPr>
          <w:rFonts w:ascii="Times New Roman" w:hAnsi="Times New Roman" w:cs="Times New Roman"/>
        </w:rPr>
        <w:t>“C”型臂 X 线机</w:t>
      </w:r>
      <w:r>
        <w:rPr>
          <w:rFonts w:ascii="Times New Roman" w:hAnsi="Times New Roman" w:cs="Times New Roman"/>
          <w:szCs w:val="21"/>
        </w:rPr>
        <w:t>拍摄腰椎的标准正位图像，标记目标椎间隙，常规手术区域消毒、铺巾。（2）定位与穿刺：</w:t>
      </w:r>
      <w:r>
        <w:rPr>
          <w:rFonts w:ascii="Times New Roman" w:hAnsi="Times New Roman" w:cs="Times New Roman"/>
        </w:rPr>
        <w:t>穿刺点位于脊柱中线旁开8</w:t>
      </w:r>
      <w:r>
        <w:rPr>
          <w:rFonts w:hint="eastAsia" w:ascii="Times New Roman" w:hAnsi="Times New Roman" w:cs="Times New Roman"/>
        </w:rPr>
        <w:t>-10</w:t>
      </w:r>
      <w:r>
        <w:rPr>
          <w:rFonts w:ascii="Times New Roman" w:hAnsi="Times New Roman" w:cs="Times New Roman"/>
        </w:rPr>
        <w:t>cm处，穿刺方向与腰椎横切面呈15°~30°角，与冠状面成45°角。使用16G穿刺针从预定位置进针，深度约为10厘米。“C”型臂X线机透视，穿刺针尖正位到达椎弓根内侧缘与棘突连线的中点，侧位在目标节段</w:t>
      </w:r>
      <w:r>
        <w:rPr>
          <w:rFonts w:hint="eastAsia" w:ascii="Times New Roman" w:hAnsi="Times New Roman" w:cs="Times New Roman"/>
          <w:lang w:val="en-US" w:eastAsia="zh-CN"/>
        </w:rPr>
        <w:t>下位椎体后缘拐点处</w:t>
      </w:r>
      <w:r>
        <w:rPr>
          <w:rFonts w:ascii="Times New Roman" w:hAnsi="Times New Roman" w:cs="Times New Roman"/>
        </w:rPr>
        <w:t>即为穿刺成功。（3）建立工作通道：切开皮肤</w:t>
      </w:r>
      <w:r>
        <w:rPr>
          <w:rFonts w:hint="eastAsia" w:ascii="Times New Roman" w:hAnsi="Times New Roman" w:cs="Times New Roman"/>
        </w:rPr>
        <w:t>约</w:t>
      </w:r>
      <w:r>
        <w:rPr>
          <w:rFonts w:ascii="Times New Roman" w:hAnsi="Times New Roman" w:cs="Times New Roman"/>
        </w:rPr>
        <w:t>1 cm，</w:t>
      </w:r>
      <w:r>
        <w:rPr>
          <w:rFonts w:hint="eastAsia" w:ascii="Times New Roman" w:hAnsi="Times New Roman" w:cs="Times New Roman"/>
          <w:lang w:val="en-US" w:eastAsia="zh-CN"/>
        </w:rPr>
        <w:t>抽出穿刺针芯，置入导丝，拔出穿刺针外鞘，置入导棒，放置套筒，拔除导丝和导棒，将套筒紧贴上关节突腹侧，利用7.5mm环锯置入套筒内行一次性扩孔成形，然后置入椎间孔镜</w:t>
      </w:r>
      <w:r>
        <w:rPr>
          <w:rFonts w:ascii="Times New Roman" w:hAnsi="Times New Roman" w:cs="Times New Roman"/>
        </w:rPr>
        <w:t>。（4）椎管内减压和髓核摘除：使用骨微动力系统椎管扩大成形，电凝止血，将神经根及硬膜囊挡在后内侧，暴露突出的椎间盘，使用不同髓核钳将</w:t>
      </w:r>
      <w:r>
        <w:rPr>
          <w:rFonts w:hint="eastAsia" w:ascii="Times New Roman" w:hAnsi="Times New Roman" w:cs="Times New Roman"/>
        </w:rPr>
        <w:t>突出的</w:t>
      </w:r>
      <w:r>
        <w:rPr>
          <w:rFonts w:ascii="Times New Roman" w:hAnsi="Times New Roman" w:cs="Times New Roman"/>
        </w:rPr>
        <w:t>髓核取</w:t>
      </w:r>
      <w:r>
        <w:rPr>
          <w:rFonts w:ascii="Times New Roman" w:hAnsi="Times New Roman" w:cs="Times New Roman"/>
          <w:szCs w:val="21"/>
        </w:rPr>
        <w:t>出。移除工作通道，缝合手术切口。</w:t>
      </w:r>
    </w:p>
    <w:p>
      <w:pPr>
        <w:rPr>
          <w:rFonts w:ascii="Times New Roman" w:hAnsi="Times New Roman" w:cs="Times New Roman"/>
          <w:szCs w:val="21"/>
        </w:rPr>
      </w:pPr>
    </w:p>
    <w:p>
      <w:pPr>
        <w:rPr>
          <w:b/>
          <w:bCs/>
        </w:rPr>
      </w:pPr>
      <w:r>
        <w:rPr>
          <w:rFonts w:hint="eastAsia"/>
          <w:b/>
          <w:bCs/>
        </w:rPr>
        <w:t>6.观察指标</w:t>
      </w:r>
    </w:p>
    <w:p>
      <w:pPr>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   1 影像学数据：椎间盘高度指数（DHI），椎间盘退变程度Pfirrmann分级；</w:t>
      </w:r>
    </w:p>
    <w:p>
      <w:pP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 xml:space="preserve">   2 实验室数据：hs-CRP和IL-6水平情况；</w:t>
      </w:r>
    </w:p>
    <w:p>
      <w:pPr>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 xml:space="preserve">   3 腰腿痛VAS评分，Oswestry功能障碍指数（ODI）；</w:t>
      </w:r>
    </w:p>
    <w:p>
      <w:pP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 xml:space="preserve">   4 治疗满意率与并发症。</w:t>
      </w:r>
    </w:p>
    <w:p>
      <w:pPr>
        <w:numPr>
          <w:ilvl w:val="0"/>
          <w:numId w:val="0"/>
        </w:numPr>
        <w:rPr>
          <w:rFonts w:hint="default"/>
          <w:lang w:val="en-US" w:eastAsia="zh-CN"/>
        </w:rPr>
      </w:pPr>
    </w:p>
    <w:p>
      <w:pPr>
        <w:numPr>
          <w:ilvl w:val="0"/>
          <w:numId w:val="0"/>
        </w:numPr>
        <w:rPr>
          <w:rFonts w:hint="default"/>
          <w:lang w:val="en-US" w:eastAsia="zh-CN"/>
        </w:rPr>
      </w:pPr>
    </w:p>
    <w:p>
      <w:pPr>
        <w:numPr>
          <w:ilvl w:val="0"/>
          <w:numId w:val="2"/>
        </w:numPr>
        <w:ind w:left="0" w:leftChars="0" w:firstLine="0" w:firstLineChars="0"/>
        <w:rPr>
          <w:rFonts w:hint="eastAsia"/>
          <w:b/>
          <w:bCs/>
        </w:rPr>
      </w:pPr>
      <w:r>
        <w:rPr>
          <w:rFonts w:hint="eastAsia"/>
          <w:b/>
          <w:bCs/>
        </w:rPr>
        <w:t>数据收集与</w:t>
      </w:r>
      <w:r>
        <w:rPr>
          <w:rFonts w:hint="eastAsia" w:cs="Times New Roman"/>
          <w:b/>
          <w:bCs/>
        </w:rPr>
        <w:t>缺失数据的</w:t>
      </w:r>
      <w:r>
        <w:rPr>
          <w:rFonts w:hint="eastAsia"/>
          <w:b/>
          <w:bCs/>
        </w:rPr>
        <w:t>处理</w:t>
      </w:r>
    </w:p>
    <w:p>
      <w:pPr>
        <w:rPr>
          <w:b/>
          <w:bCs/>
        </w:rPr>
      </w:pPr>
      <w:r>
        <w:rPr>
          <w:rFonts w:hint="eastAsia"/>
          <w:b/>
          <w:bCs/>
        </w:rPr>
        <w:t>1.数据收集</w:t>
      </w:r>
    </w:p>
    <w:p>
      <w:pPr>
        <w:numPr>
          <w:ilvl w:val="0"/>
          <w:numId w:val="0"/>
        </w:numPr>
        <w:ind w:leftChars="0" w:firstLine="420" w:firstLineChars="200"/>
        <w:rPr>
          <w:rFonts w:hint="eastAsia"/>
        </w:rPr>
      </w:pPr>
      <w:r>
        <w:rPr>
          <w:rFonts w:hint="eastAsia"/>
        </w:rPr>
        <w:t>本研究使用ImageJ软件对影像学数据进行测量，并记录椎间隙前缘高度与后缘高度之和</w:t>
      </w:r>
      <w:r>
        <w:rPr>
          <w:rFonts w:hint="eastAsia"/>
          <w:lang w:val="en-US" w:eastAsia="zh-CN"/>
        </w:rPr>
        <w:t>及</w:t>
      </w:r>
      <w:r>
        <w:rPr>
          <w:rFonts w:hint="eastAsia"/>
        </w:rPr>
        <w:t>相邻椎体高度之和</w:t>
      </w:r>
      <w:r>
        <w:rPr>
          <w:rFonts w:hint="eastAsia"/>
          <w:lang w:val="en-US" w:eastAsia="zh-CN"/>
        </w:rPr>
        <w:t>数值，用于计算DHI指数</w:t>
      </w:r>
      <w:r>
        <w:rPr>
          <w:rFonts w:hint="eastAsia"/>
        </w:rPr>
        <w:t>。数据将使用SPSS或Excel等软件进行录入和分析。</w:t>
      </w:r>
    </w:p>
    <w:p>
      <w:pPr>
        <w:numPr>
          <w:ilvl w:val="0"/>
          <w:numId w:val="0"/>
        </w:numPr>
        <w:ind w:leftChars="0" w:firstLine="420" w:firstLineChars="200"/>
        <w:rPr>
          <w:rFonts w:hint="eastAsia" w:ascii="Times New Roman" w:hAnsi="Times New Roman" w:cs="Times New Roman"/>
          <w:szCs w:val="21"/>
          <w:lang w:val="en-US" w:eastAsia="zh-CN"/>
        </w:rPr>
      </w:pPr>
      <w:r>
        <w:rPr>
          <w:rFonts w:hint="eastAsia"/>
          <w:lang w:val="en-US" w:eastAsia="zh-CN"/>
        </w:rPr>
        <w:t>统计患者术前及术后3天</w:t>
      </w:r>
      <w:r>
        <w:rPr>
          <w:rFonts w:hint="eastAsia" w:ascii="Times New Roman" w:hAnsi="Times New Roman" w:cs="Times New Roman"/>
          <w:szCs w:val="21"/>
          <w:lang w:val="en-US" w:eastAsia="zh-CN"/>
        </w:rPr>
        <w:t>hs-CRP和IL-6水平情况。</w:t>
      </w:r>
    </w:p>
    <w:p>
      <w:pPr>
        <w:ind w:firstLine="420" w:firstLineChars="200"/>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分别于术前，术后7天、1月、3月、6月、12月让病人</w:t>
      </w:r>
      <w:bookmarkStart w:id="5" w:name="_GoBack"/>
      <w:bookmarkEnd w:id="5"/>
      <w:r>
        <w:rPr>
          <w:rFonts w:hint="eastAsia" w:ascii="Times New Roman" w:hAnsi="Times New Roman" w:cs="Times New Roman"/>
          <w:szCs w:val="21"/>
          <w:lang w:val="en-US" w:eastAsia="zh-CN"/>
        </w:rPr>
        <w:t>作答VAS评分、ODI评分表，其中VAS评分满分10分，ODI评分满分50分，分值越大说明疼痛越明显。该问卷已被翻译成中文。</w:t>
      </w:r>
    </w:p>
    <w:p>
      <w:pPr>
        <w:ind w:firstLine="420" w:firstLineChars="200"/>
        <w:rPr>
          <w:rFonts w:hint="eastAsia" w:cs="Times New Roman"/>
        </w:rPr>
      </w:pPr>
      <w:r>
        <w:rPr>
          <w:rFonts w:hint="eastAsia" w:cs="Times New Roman"/>
        </w:rPr>
        <w:t>治疗满意率：</w:t>
      </w:r>
      <w:r>
        <w:rPr>
          <w:rFonts w:hint="eastAsia" w:cs="Times New Roman"/>
          <w:lang w:val="en-US" w:eastAsia="zh-CN"/>
        </w:rPr>
        <w:t>术后12月</w:t>
      </w:r>
      <w:r>
        <w:rPr>
          <w:rFonts w:hint="eastAsia" w:cs="Times New Roman"/>
        </w:rPr>
        <w:t>，我们对两组</w:t>
      </w:r>
      <w:r>
        <w:rPr>
          <w:rFonts w:hint="eastAsia" w:cs="Times New Roman"/>
          <w:lang w:val="en-US" w:eastAsia="zh-CN"/>
        </w:rPr>
        <w:t>患者</w:t>
      </w:r>
      <w:r>
        <w:rPr>
          <w:rFonts w:hint="eastAsia" w:cs="Times New Roman"/>
        </w:rPr>
        <w:t>进行了满意度的调查。该调查采用10分制，其中10分表示最满意，0分表示最不满意。具体评价标准为：1~5分表示不满意，6~8分表示满意，9~10分表示非常满意。</w:t>
      </w:r>
    </w:p>
    <w:p>
      <w:pPr>
        <w:rPr>
          <w:rFonts w:cs="Times New Roman"/>
          <w:b/>
          <w:bCs/>
        </w:rPr>
      </w:pPr>
      <w:r>
        <w:rPr>
          <w:rFonts w:hint="eastAsia" w:cs="Times New Roman"/>
        </w:rPr>
        <w:t>2.</w:t>
      </w:r>
      <w:r>
        <w:rPr>
          <w:rFonts w:hint="eastAsia" w:cs="Times New Roman"/>
          <w:b/>
          <w:bCs/>
        </w:rPr>
        <w:t>缺失数据的处理</w:t>
      </w:r>
    </w:p>
    <w:p>
      <w:pPr>
        <w:rPr>
          <w:rFonts w:hint="default" w:cs="Times New Roman" w:eastAsiaTheme="minorEastAsia"/>
          <w:lang w:val="en-US" w:eastAsia="zh-CN"/>
        </w:rPr>
      </w:pPr>
      <w:r>
        <w:rPr>
          <w:rFonts w:hint="eastAsia" w:cs="Times New Roman"/>
          <w:lang w:val="en-US" w:eastAsia="zh-CN"/>
        </w:rPr>
        <w:t xml:space="preserve">    </w:t>
      </w:r>
      <w:r>
        <w:rPr>
          <w:rFonts w:hint="eastAsia" w:cs="Times New Roman"/>
        </w:rPr>
        <w:t>采用多重插补，通过模拟缺失数据的可能值，创建多个完整的数据集，然后对每个数据集进行分析，最后合并结果。使用统计软件的多重插补功能，根据已有的数据模拟缺失值，创建5个完整的数据集。对每个插补后的数据集进行相同的统计分析。使用Rubin's规则合并多个数据集的分析结果，得出最终的统计结论。</w:t>
      </w:r>
    </w:p>
    <w:p>
      <w:pPr>
        <w:rPr>
          <w:b/>
          <w:bCs/>
        </w:rPr>
      </w:pPr>
      <w:r>
        <w:rPr>
          <w:rFonts w:hint="eastAsia"/>
          <w:b/>
          <w:bCs/>
        </w:rPr>
        <w:t>四、统计学方法</w:t>
      </w:r>
    </w:p>
    <w:p>
      <w:pPr>
        <w:ind w:firstLine="420" w:firstLineChars="200"/>
        <w:rPr>
          <w:rFonts w:cs="Times New Roman"/>
        </w:rPr>
      </w:pPr>
      <w:r>
        <w:rPr>
          <w:rFonts w:hint="eastAsia" w:ascii="Arial" w:hAnsi="Arial" w:cs="Arial"/>
        </w:rPr>
        <w:t>采</w:t>
      </w:r>
      <w:r>
        <w:rPr>
          <w:rFonts w:cs="Times New Roman"/>
        </w:rPr>
        <w:t>用SPSS 26.0统计学软件进行统计分析，符合正态分布的计量资料采用均数±标准差（</w:t>
      </w:r>
      <m:oMath>
        <m:acc>
          <m:accPr>
            <m:chr m:val="̅"/>
            <m:ctrlPr>
              <w:rPr>
                <w:rFonts w:ascii="Cambria Math" w:hAnsi="Cambria Math" w:cs="Times New Roman"/>
                <w:i/>
              </w:rPr>
            </m:ctrlPr>
          </m:accPr>
          <m:e>
            <m:r>
              <m:rPr/>
              <w:rPr>
                <w:rFonts w:ascii="Cambria Math" w:hAnsi="Cambria Math" w:cs="Times New Roman"/>
              </w:rPr>
              <m:t>x</m:t>
            </m:r>
            <m:ctrlPr>
              <w:rPr>
                <w:rFonts w:ascii="Cambria Math" w:hAnsi="Cambria Math" w:cs="Times New Roman"/>
                <w:i/>
              </w:rPr>
            </m:ctrlPr>
          </m:e>
        </m:acc>
      </m:oMath>
      <w:r>
        <w:rPr>
          <w:rFonts w:cs="Times New Roman"/>
        </w:rPr>
        <w:t>±</w:t>
      </w:r>
      <w:r>
        <w:rPr>
          <w:rFonts w:hint="eastAsia" w:cs="Times New Roman"/>
        </w:rPr>
        <w:t>s</w:t>
      </w:r>
      <w:r>
        <w:rPr>
          <w:rFonts w:cs="Times New Roman"/>
        </w:rPr>
        <w:t>）表示，两组间计量资料的比较采用独立样本t检验，两组计数资料的比较采用</w:t>
      </w:r>
      <w:r>
        <w:rPr>
          <w:rFonts w:hint="eastAsia" w:cs="Times New Roman"/>
        </w:rPr>
        <w:t>卡方检验</w:t>
      </w:r>
      <w:r>
        <w:rPr>
          <w:rFonts w:cs="Times New Roman"/>
        </w:rPr>
        <w:t>。以P＜0.05为差异有统计学意义。</w:t>
      </w:r>
    </w:p>
    <w:p>
      <w:pPr>
        <w:numPr>
          <w:ilvl w:val="0"/>
          <w:numId w:val="0"/>
        </w:numPr>
        <w:ind w:leftChars="0"/>
        <w:rPr>
          <w:rFonts w:hint="eastAsia"/>
          <w:b/>
          <w:bCs/>
        </w:rPr>
      </w:pPr>
    </w:p>
    <w:p>
      <w:pPr>
        <w:numPr>
          <w:ilvl w:val="0"/>
          <w:numId w:val="0"/>
        </w:numPr>
        <w:ind w:leftChars="0"/>
        <w:rPr>
          <w:rFonts w:hint="eastAsia"/>
          <w:b/>
          <w:bCs/>
        </w:rPr>
      </w:pPr>
      <w:r>
        <w:rPr>
          <w:rFonts w:hint="eastAsia"/>
          <w:b/>
          <w:bCs/>
          <w:lang w:val="en-US" w:eastAsia="zh-CN"/>
        </w:rPr>
        <w:t>五、</w:t>
      </w:r>
      <w:r>
        <w:rPr>
          <w:rFonts w:hint="eastAsia"/>
          <w:b/>
          <w:bCs/>
        </w:rPr>
        <w:t>预期结果与讨论</w:t>
      </w:r>
    </w:p>
    <w:p>
      <w:pPr>
        <w:numPr>
          <w:ilvl w:val="0"/>
          <w:numId w:val="0"/>
        </w:numPr>
        <w:ind w:leftChars="0" w:firstLine="420"/>
        <w:rPr>
          <w:rFonts w:hint="eastAsia" w:cs="Times New Roman"/>
          <w:lang w:val="en-US" w:eastAsia="zh-CN"/>
        </w:rPr>
      </w:pPr>
      <w:r>
        <w:rPr>
          <w:rFonts w:hint="eastAsia" w:cs="Times New Roman"/>
          <w:lang w:val="en-US" w:eastAsia="zh-CN"/>
        </w:rPr>
        <w:t>预期结果：45°脊柱内镜手术治疗腰椎间盘突出症具有良好的临床疗效，对于寒湿痹阻型腰椎间盘突出症患者，术后联合独活寄生汤口服治疗可以减轻或预防术后腰腿痛、下肢胀痛等残余症状，提高术后短期疗效，但中远期疗效未见明显优势。</w:t>
      </w:r>
    </w:p>
    <w:p>
      <w:pPr>
        <w:ind w:firstLine="420" w:firstLineChars="200"/>
        <w:rPr>
          <w:rFonts w:hint="eastAsia" w:cs="Times New Roman"/>
        </w:rPr>
      </w:pPr>
      <w:r>
        <w:rPr>
          <w:rFonts w:hint="eastAsia" w:cs="Times New Roman"/>
          <w:lang w:val="en-US" w:eastAsia="zh-CN"/>
        </w:rPr>
        <w:t>讨论：</w:t>
      </w:r>
      <w:r>
        <w:rPr>
          <w:rFonts w:hint="eastAsia" w:cs="Times New Roman"/>
        </w:rPr>
        <w:t>目前，传统腰椎开放性手术有全椎板切除术、腰椎椎体间融合术等，虽然能在临床上取得较好的疗效，但由于存在高麻醉风险、创伤大、出血量多、破坏脊柱稳定性及术后顽固性腰背痛等局限，医者愈发追求一种创口小、疗效佳的新术式。上世纪90年代，Yeung</w:t>
      </w:r>
      <w:r>
        <w:rPr>
          <w:rFonts w:hint="eastAsia" w:cs="Times New Roman"/>
          <w:vertAlign w:val="superscript"/>
        </w:rPr>
        <w:fldChar w:fldCharType="begin"/>
      </w:r>
      <w:r>
        <w:rPr>
          <w:rFonts w:hint="eastAsia" w:cs="Times New Roman"/>
          <w:vertAlign w:val="superscript"/>
        </w:rPr>
        <w:instrText xml:space="preserve"> REF _Ref23503 \n \h  \* MERGEFORMAT </w:instrText>
      </w:r>
      <w:r>
        <w:rPr>
          <w:rFonts w:hint="eastAsia" w:cs="Times New Roman"/>
          <w:vertAlign w:val="superscript"/>
        </w:rPr>
        <w:fldChar w:fldCharType="separate"/>
      </w:r>
      <w:r>
        <w:rPr>
          <w:rFonts w:hint="eastAsia" w:cs="Times New Roman"/>
          <w:vertAlign w:val="superscript"/>
        </w:rPr>
        <w:t>[</w:t>
      </w:r>
      <w:r>
        <w:rPr>
          <w:rFonts w:hint="eastAsia" w:cs="Times New Roman"/>
          <w:vertAlign w:val="superscript"/>
          <w:lang w:val="en-US" w:eastAsia="zh-CN"/>
        </w:rPr>
        <w:t>1</w:t>
      </w:r>
      <w:r>
        <w:rPr>
          <w:rFonts w:hint="eastAsia" w:cs="Times New Roman"/>
          <w:vertAlign w:val="superscript"/>
        </w:rPr>
        <w:fldChar w:fldCharType="end"/>
      </w:r>
      <w:r>
        <w:rPr>
          <w:rFonts w:hint="eastAsia" w:cs="Times New Roman"/>
          <w:vertAlign w:val="superscript"/>
          <w:lang w:val="en-US" w:eastAsia="zh-CN"/>
        </w:rPr>
        <w:t>0</w:t>
      </w:r>
      <w:r>
        <w:rPr>
          <w:rFonts w:hint="eastAsia" w:cs="Times New Roman"/>
        </w:rPr>
        <w:t>研发的同轴脊柱内镜操作系统（YESS）问世，PTED技术应运而生，本世纪初，Hoogland</w:t>
      </w:r>
      <w:r>
        <w:rPr>
          <w:rFonts w:hint="eastAsia" w:cs="Times New Roman"/>
          <w:vertAlign w:val="superscript"/>
        </w:rPr>
        <w:fldChar w:fldCharType="begin"/>
      </w:r>
      <w:r>
        <w:rPr>
          <w:rFonts w:hint="eastAsia" w:cs="Times New Roman"/>
          <w:vertAlign w:val="superscript"/>
        </w:rPr>
        <w:instrText xml:space="preserve"> REF _Ref23533 \n \h  \* MERGEFORMAT </w:instrText>
      </w:r>
      <w:r>
        <w:rPr>
          <w:rFonts w:hint="eastAsia" w:cs="Times New Roman"/>
          <w:vertAlign w:val="superscript"/>
        </w:rPr>
        <w:fldChar w:fldCharType="separate"/>
      </w:r>
      <w:r>
        <w:rPr>
          <w:rFonts w:hint="eastAsia" w:cs="Times New Roman"/>
          <w:vertAlign w:val="superscript"/>
        </w:rPr>
        <w:t>[</w:t>
      </w:r>
      <w:r>
        <w:rPr>
          <w:rFonts w:hint="eastAsia" w:cs="Times New Roman"/>
          <w:vertAlign w:val="superscript"/>
          <w:lang w:val="en-US" w:eastAsia="zh-CN"/>
        </w:rPr>
        <w:t>11</w:t>
      </w:r>
      <w:r>
        <w:rPr>
          <w:rFonts w:hint="eastAsia" w:cs="Times New Roman"/>
          <w:vertAlign w:val="superscript"/>
        </w:rPr>
        <w:t>]</w:t>
      </w:r>
      <w:r>
        <w:rPr>
          <w:rFonts w:hint="eastAsia" w:cs="Times New Roman"/>
          <w:vertAlign w:val="superscript"/>
        </w:rPr>
        <w:fldChar w:fldCharType="end"/>
      </w:r>
      <w:r>
        <w:rPr>
          <w:rFonts w:hint="eastAsia" w:cs="Times New Roman"/>
        </w:rPr>
        <w:t>发明了（THESYS）系统并风靡全球，其通过环锯对椎间孔进行逐级扩大成形，将内窥镜置入椎管，在直视下取出突出的椎间盘组织，达到对神经根进行减压的效果。然而TESSYS技术定位繁琐，操作难度较高，学习曲线长，进针点旁开脊柱中线更长、具有更长的麻醉路径，同时，部分L5/S1椎间盘突出患者面临因高髂嵴阻挡导致进针困难的问题。因此我们在YESS技术与TESSYS技术基础上进行改良，采用45°进针技术，即在脊柱后正中线旁开约8～10cm，与冠状面呈45°角进针，进针深度约10 cm，这样不仅简化定位方法、降低操作难度、缩短学习曲线、减少进针深度，又能巧妙避开高髂嵴阻挡，进而顺利建立工作通道对突出的椎间盘组织进行摘除</w:t>
      </w:r>
      <w:r>
        <w:rPr>
          <w:rFonts w:hint="eastAsia" w:cs="Times New Roman"/>
          <w:lang w:eastAsia="zh-CN"/>
        </w:rPr>
        <w:t>，</w:t>
      </w:r>
      <w:r>
        <w:rPr>
          <w:rFonts w:hint="eastAsia" w:cs="Times New Roman"/>
          <w:lang w:val="en-US" w:eastAsia="zh-CN"/>
        </w:rPr>
        <w:t>我们将其命名为45°脊柱内镜技术。</w:t>
      </w:r>
      <w:r>
        <w:rPr>
          <w:rFonts w:hint="eastAsia" w:cs="Times New Roman"/>
        </w:rPr>
        <w:t>然而，</w:t>
      </w:r>
      <w:r>
        <w:rPr>
          <w:rFonts w:hint="eastAsia" w:cs="Times New Roman"/>
          <w:lang w:val="en-US" w:eastAsia="zh-CN"/>
        </w:rPr>
        <w:t>任何微创术式包括45°脊柱内镜</w:t>
      </w:r>
      <w:r>
        <w:rPr>
          <w:rFonts w:hint="eastAsia" w:cs="Times New Roman"/>
        </w:rPr>
        <w:t>技术存在视野和操作空间的局限性，可能会导致部分突出的椎间盘组织无法完全摘除，术后出现下肢麻木等残余症状。目前临床上常用非甾体抗炎药及营养神经类药物来缓解术后残余症状，但这类药物常会对人体消化系统及循环系统带来潜在的危害</w:t>
      </w:r>
      <w:r>
        <w:rPr>
          <w:rFonts w:hint="eastAsia" w:cs="Times New Roman"/>
          <w:vertAlign w:val="superscript"/>
        </w:rPr>
        <w:fldChar w:fldCharType="begin"/>
      </w:r>
      <w:r>
        <w:rPr>
          <w:rFonts w:hint="eastAsia" w:cs="Times New Roman"/>
          <w:vertAlign w:val="superscript"/>
        </w:rPr>
        <w:instrText xml:space="preserve"> REF _Ref30670 \n \h  \* MERGEFORMAT </w:instrText>
      </w:r>
      <w:r>
        <w:rPr>
          <w:rFonts w:hint="eastAsia" w:cs="Times New Roman"/>
          <w:vertAlign w:val="superscript"/>
        </w:rPr>
        <w:fldChar w:fldCharType="separate"/>
      </w:r>
      <w:r>
        <w:rPr>
          <w:rFonts w:hint="eastAsia" w:cs="Times New Roman"/>
          <w:vertAlign w:val="superscript"/>
        </w:rPr>
        <w:t>[</w:t>
      </w:r>
      <w:r>
        <w:rPr>
          <w:rFonts w:hint="eastAsia" w:cs="Times New Roman"/>
          <w:vertAlign w:val="superscript"/>
          <w:lang w:val="en-US" w:eastAsia="zh-CN"/>
        </w:rPr>
        <w:t>8,9</w:t>
      </w:r>
      <w:r>
        <w:rPr>
          <w:rFonts w:hint="eastAsia" w:cs="Times New Roman"/>
          <w:vertAlign w:val="superscript"/>
        </w:rPr>
        <w:t>]</w:t>
      </w:r>
      <w:r>
        <w:rPr>
          <w:rFonts w:hint="eastAsia" w:cs="Times New Roman"/>
          <w:vertAlign w:val="superscript"/>
        </w:rPr>
        <w:fldChar w:fldCharType="end"/>
      </w:r>
      <w:r>
        <w:rPr>
          <w:rFonts w:hint="eastAsia" w:cs="Times New Roman"/>
        </w:rPr>
        <w:t>。</w:t>
      </w:r>
    </w:p>
    <w:p>
      <w:pPr>
        <w:ind w:firstLine="420" w:firstLineChars="200"/>
        <w:rPr>
          <w:rFonts w:hint="eastAsia" w:cs="Times New Roman"/>
        </w:rPr>
      </w:pPr>
      <w:r>
        <w:rPr>
          <w:rFonts w:hint="eastAsia" w:cs="Times New Roman"/>
        </w:rPr>
        <w:t>为了解决这一问题，我们将目光转至中医药，《诸病源候论》中记载“夫劳伤之人,肾气虚损……故卒然而患腰痛。”即腰部病变需抓住补肾这一原则，《备急千金药方》中提到“夫腰背痛者，皆由肾气虚弱...宜急服独活寄生汤。”独活寄生汤具有治疗腰膝疼痛、肢节麻木不仁的作用，该方能补益肝肾，同时辛温行散除风寒湿邪，甘温滋柔祛除蠲痹之痛，方中重用独活祛下焦寒湿而除痹痛；防风、秦艽祛风除湿、活络疏筋；肉桂温里祛寒、通行血脉；桑寄生、牛膝、杜仲补肝肾、祛风湿、强筋骨；当归、芍药、地黄、川芎养血活血；人参、茯苓、甘草补气健脾</w:t>
      </w:r>
      <w:r>
        <w:rPr>
          <w:rFonts w:hint="eastAsia" w:cs="Times New Roman"/>
          <w:vertAlign w:val="superscript"/>
        </w:rPr>
        <w:fldChar w:fldCharType="begin"/>
      </w:r>
      <w:r>
        <w:rPr>
          <w:rFonts w:hint="eastAsia" w:cs="Times New Roman"/>
          <w:vertAlign w:val="superscript"/>
        </w:rPr>
        <w:instrText xml:space="preserve"> REF _Ref5595 \n \h  \* MERGEFORMAT </w:instrText>
      </w:r>
      <w:r>
        <w:rPr>
          <w:rFonts w:hint="eastAsia" w:cs="Times New Roman"/>
          <w:vertAlign w:val="superscript"/>
        </w:rPr>
        <w:fldChar w:fldCharType="separate"/>
      </w:r>
      <w:r>
        <w:rPr>
          <w:rFonts w:hint="eastAsia" w:cs="Times New Roman"/>
          <w:vertAlign w:val="superscript"/>
        </w:rPr>
        <w:t>[</w:t>
      </w:r>
      <w:r>
        <w:rPr>
          <w:rFonts w:hint="eastAsia" w:cs="Times New Roman"/>
          <w:vertAlign w:val="superscript"/>
          <w:lang w:val="en-US" w:eastAsia="zh-CN"/>
        </w:rPr>
        <w:t>12</w:t>
      </w:r>
      <w:r>
        <w:rPr>
          <w:rFonts w:hint="eastAsia" w:cs="Times New Roman"/>
          <w:vertAlign w:val="superscript"/>
        </w:rPr>
        <w:t>]</w:t>
      </w:r>
      <w:r>
        <w:rPr>
          <w:rFonts w:hint="eastAsia" w:cs="Times New Roman"/>
          <w:vertAlign w:val="superscript"/>
        </w:rPr>
        <w:fldChar w:fldCharType="end"/>
      </w:r>
      <w:r>
        <w:rPr>
          <w:rFonts w:hint="eastAsia" w:cs="Times New Roman"/>
        </w:rPr>
        <w:t>。诸药合用，风寒湿邪具除，筋骨健强，腰痛及下肢麻木诸症自缓。现代药理研究证实，独活寄生汤具有抗炎、缓解疼痛、改善局部循环的作用</w:t>
      </w:r>
      <w:r>
        <w:rPr>
          <w:rFonts w:hint="eastAsia" w:cs="Times New Roman"/>
          <w:vertAlign w:val="superscript"/>
        </w:rPr>
        <w:fldChar w:fldCharType="begin"/>
      </w:r>
      <w:r>
        <w:rPr>
          <w:rFonts w:hint="eastAsia" w:cs="Times New Roman"/>
          <w:vertAlign w:val="superscript"/>
        </w:rPr>
        <w:instrText xml:space="preserve"> REF _Ref31417 \n \h  \* MERGEFORMAT </w:instrText>
      </w:r>
      <w:r>
        <w:rPr>
          <w:rFonts w:hint="eastAsia" w:cs="Times New Roman"/>
          <w:vertAlign w:val="superscript"/>
        </w:rPr>
        <w:fldChar w:fldCharType="separate"/>
      </w:r>
      <w:r>
        <w:rPr>
          <w:rFonts w:hint="eastAsia" w:cs="Times New Roman"/>
          <w:vertAlign w:val="superscript"/>
        </w:rPr>
        <w:t>[</w:t>
      </w:r>
      <w:r>
        <w:rPr>
          <w:rFonts w:hint="eastAsia" w:cs="Times New Roman"/>
          <w:vertAlign w:val="superscript"/>
          <w:lang w:val="en-US" w:eastAsia="zh-CN"/>
        </w:rPr>
        <w:t>13,14</w:t>
      </w:r>
      <w:r>
        <w:rPr>
          <w:rFonts w:hint="eastAsia" w:cs="Times New Roman"/>
          <w:vertAlign w:val="superscript"/>
        </w:rPr>
        <w:t>]</w:t>
      </w:r>
      <w:r>
        <w:rPr>
          <w:rFonts w:hint="eastAsia" w:cs="Times New Roman"/>
          <w:vertAlign w:val="superscript"/>
        </w:rPr>
        <w:fldChar w:fldCharType="end"/>
      </w:r>
      <w:r>
        <w:rPr>
          <w:rFonts w:hint="eastAsia" w:cs="Times New Roman"/>
        </w:rPr>
        <w:t>，在术后服用独活寄生汤后能降低hs-CRP和IL-6水平，从而减轻了局部炎症反应和软组织损伤</w:t>
      </w:r>
      <w:r>
        <w:rPr>
          <w:rFonts w:hint="eastAsia" w:cs="Times New Roman"/>
          <w:lang w:eastAsia="zh-CN"/>
        </w:rPr>
        <w:t>。</w:t>
      </w:r>
      <w:r>
        <w:rPr>
          <w:rFonts w:hint="eastAsia" w:cs="Times New Roman"/>
          <w:lang w:val="en-US" w:eastAsia="zh-CN"/>
        </w:rPr>
        <w:t>同时</w:t>
      </w:r>
      <w:r>
        <w:rPr>
          <w:rFonts w:hint="eastAsia" w:cs="Times New Roman"/>
        </w:rPr>
        <w:t>独活寄生汤在延缓椎间盘进一步退变、维持脊柱稳定性方面可能具备潜在的积极影响</w:t>
      </w:r>
      <w:r>
        <w:rPr>
          <w:rFonts w:hint="eastAsia" w:cs="Times New Roman"/>
          <w:lang w:eastAsia="zh-CN"/>
        </w:rPr>
        <w:t>。</w:t>
      </w:r>
      <w:r>
        <w:rPr>
          <w:rFonts w:hint="eastAsia" w:cs="Times New Roman"/>
        </w:rPr>
        <w:t>对于寒湿痹阻型腰椎间盘突出症患者，</w:t>
      </w:r>
      <w:r>
        <w:rPr>
          <w:rFonts w:hint="eastAsia" w:cs="Times New Roman"/>
          <w:lang w:val="en-US" w:eastAsia="zh-CN"/>
        </w:rPr>
        <w:t>我们</w:t>
      </w:r>
      <w:r>
        <w:rPr>
          <w:rFonts w:hint="eastAsia" w:cs="Times New Roman"/>
        </w:rPr>
        <w:t>在临床中运用独活寄生汤治疗取得了良好的疗效，因此我们</w:t>
      </w:r>
      <w:r>
        <w:rPr>
          <w:rFonts w:hint="eastAsia" w:cs="Times New Roman"/>
          <w:lang w:val="en-US" w:eastAsia="zh-CN"/>
        </w:rPr>
        <w:t>创新性</w:t>
      </w:r>
      <w:r>
        <w:rPr>
          <w:rFonts w:hint="eastAsia" w:cs="Times New Roman"/>
        </w:rPr>
        <w:t>将其应用到45°</w:t>
      </w:r>
      <w:r>
        <w:rPr>
          <w:rFonts w:hint="eastAsia" w:cs="Times New Roman"/>
          <w:lang w:val="en-US" w:eastAsia="zh-CN"/>
        </w:rPr>
        <w:t>脊柱内镜</w:t>
      </w:r>
      <w:r>
        <w:rPr>
          <w:rFonts w:hint="eastAsia" w:cs="Times New Roman"/>
        </w:rPr>
        <w:t>术后用于预防及减轻残余症状</w:t>
      </w:r>
      <w:r>
        <w:rPr>
          <w:rFonts w:hint="eastAsia" w:cs="Times New Roman"/>
          <w:lang w:eastAsia="zh-CN"/>
        </w:rPr>
        <w:t>，</w:t>
      </w:r>
      <w:r>
        <w:rPr>
          <w:rFonts w:hint="eastAsia" w:cs="Times New Roman"/>
          <w:lang w:val="en-US" w:eastAsia="zh-CN"/>
        </w:rPr>
        <w:t>为临床提供新思路，</w:t>
      </w:r>
      <w:r>
        <w:rPr>
          <w:rFonts w:hint="eastAsia" w:cs="Times New Roman"/>
        </w:rPr>
        <w:t>以期实现更佳的临床治疗效果</w:t>
      </w:r>
      <w:r>
        <w:rPr>
          <w:rFonts w:hint="eastAsia" w:cs="Times New Roman"/>
          <w:lang w:eastAsia="zh-CN"/>
        </w:rPr>
        <w:t>。</w:t>
      </w:r>
      <w:r>
        <w:rPr>
          <w:rFonts w:hint="eastAsia" w:cs="Times New Roman"/>
        </w:rPr>
        <w:t>实践证明，这种综合治疗方法不仅取得了显著的临床成效，还提高了病人在治疗过程中的满意度。所有纳入研究的患者均来自同一医疗中心，这可能对研究结果产生一定影响，且本研究属于回顾性研究，而非随机对照试验，证据等级相对较低。</w:t>
      </w:r>
    </w:p>
    <w:p>
      <w:pPr>
        <w:ind w:firstLine="420" w:firstLineChars="200"/>
        <w:rPr>
          <w:rFonts w:hint="eastAsia" w:cs="Times New Roman"/>
        </w:rPr>
      </w:pPr>
    </w:p>
    <w:p>
      <w:pPr>
        <w:rPr>
          <w:rFonts w:hint="eastAsia" w:cs="Times New Roman"/>
        </w:rPr>
      </w:pPr>
    </w:p>
    <w:p>
      <w:pPr>
        <w:rPr>
          <w:rFonts w:hint="default" w:cs="Times New Roman" w:eastAsiaTheme="minorEastAsia"/>
          <w:b/>
          <w:bCs/>
          <w:lang w:val="en-US" w:eastAsia="zh-CN"/>
        </w:rPr>
      </w:pPr>
      <w:r>
        <w:rPr>
          <w:rFonts w:hint="eastAsia" w:cs="Times New Roman"/>
          <w:b/>
          <w:bCs/>
          <w:lang w:val="en-US" w:eastAsia="zh-CN"/>
        </w:rPr>
        <w:t>参考文献</w:t>
      </w:r>
    </w:p>
    <w:p>
      <w:pPr>
        <w:pStyle w:val="4"/>
        <w:tabs>
          <w:tab w:val="left" w:pos="0"/>
        </w:tabs>
        <w:rPr>
          <w:rFonts w:hint="eastAsia" w:cs="Times New Roman" w:asciiTheme="minorHAnsi" w:hAnsiTheme="minorHAnsi" w:eastAsiaTheme="minorEastAsia"/>
          <w:kern w:val="2"/>
          <w:sz w:val="21"/>
          <w:szCs w:val="24"/>
          <w:lang w:val="en-US" w:eastAsia="zh-CN" w:bidi="ar-SA"/>
        </w:rPr>
      </w:pPr>
      <w:r>
        <w:rPr>
          <w:rFonts w:hint="eastAsia" w:cs="Times New Roman" w:eastAsiaTheme="minorEastAsia"/>
          <w:kern w:val="2"/>
          <w:sz w:val="21"/>
          <w:szCs w:val="24"/>
          <w:lang w:val="en-US" w:eastAsia="zh-CN" w:bidi="ar-SA"/>
        </w:rPr>
        <w:t xml:space="preserve">  </w:t>
      </w:r>
      <w:r>
        <w:rPr>
          <w:rFonts w:hint="eastAsia" w:cs="Times New Roman" w:asciiTheme="minorHAnsi" w:hAnsiTheme="minorHAnsi" w:eastAsiaTheme="minorEastAsia"/>
          <w:kern w:val="2"/>
          <w:sz w:val="21"/>
          <w:szCs w:val="24"/>
          <w:lang w:val="en-US" w:eastAsia="zh-CN" w:bidi="ar-SA"/>
        </w:rPr>
        <w:t>Yu P, Mao F, Chen J, et al. Characteristics and mechanisms of resorption in lumbar disc herniation[J]. Arthritis Res Ther. 2022;24(1):205.</w:t>
      </w:r>
    </w:p>
    <w:p>
      <w:pPr>
        <w:pStyle w:val="4"/>
        <w:rPr>
          <w:rFonts w:hint="eastAsia" w:cs="Times New Roman" w:asciiTheme="minorHAnsi" w:hAnsiTheme="minorHAnsi" w:eastAsiaTheme="minorEastAsia"/>
          <w:kern w:val="2"/>
          <w:sz w:val="21"/>
          <w:szCs w:val="24"/>
          <w:lang w:val="en-US" w:eastAsia="zh-CN" w:bidi="ar-SA"/>
        </w:rPr>
      </w:pPr>
      <w:r>
        <w:rPr>
          <w:rFonts w:hint="eastAsia" w:cs="Times New Roman" w:asciiTheme="minorHAnsi" w:hAnsiTheme="minorHAnsi" w:eastAsiaTheme="minorEastAsia"/>
          <w:kern w:val="2"/>
          <w:sz w:val="21"/>
          <w:szCs w:val="24"/>
          <w:lang w:val="en-US" w:eastAsia="zh-CN" w:bidi="ar-SA"/>
        </w:rPr>
        <w:t xml:space="preserve">  Zhang R, Zhang SJ, Wang XJ. Postoperative functional exercise for patients who underwent percutaneous transforaminal endoscopic discectomy for lumbar disc herniation[J]. Eur Rev Med Pharmacol Sci. 2018;22(1 Suppl):15-22.</w:t>
      </w:r>
    </w:p>
    <w:p>
      <w:pPr>
        <w:pStyle w:val="4"/>
        <w:rPr>
          <w:rFonts w:hint="eastAsia" w:cs="Times New Roman" w:asciiTheme="minorHAnsi" w:hAnsiTheme="minorHAnsi" w:eastAsiaTheme="minorEastAsia"/>
          <w:kern w:val="2"/>
          <w:sz w:val="21"/>
          <w:szCs w:val="24"/>
          <w:lang w:val="en-US" w:eastAsia="zh-CN" w:bidi="ar-SA"/>
        </w:rPr>
      </w:pPr>
      <w:bookmarkStart w:id="0" w:name="_Ref4249"/>
      <w:bookmarkEnd w:id="0"/>
      <w:r>
        <w:rPr>
          <w:rFonts w:hint="eastAsia" w:cs="Times New Roman" w:asciiTheme="minorHAnsi" w:hAnsiTheme="minorHAnsi" w:eastAsiaTheme="minorEastAsia"/>
          <w:kern w:val="2"/>
          <w:sz w:val="21"/>
          <w:szCs w:val="24"/>
          <w:lang w:val="en-US" w:eastAsia="zh-CN" w:bidi="ar-SA"/>
        </w:rPr>
        <w:t xml:space="preserve">  Yao Y, Zhao Z, Chen F, et al. Effectiveness of moxibustion alone on lumbar disc herniation:a Meta-analysis of randomized controlled trials[J]. J Tradit Chin Med.2023;43(1):14-26.</w:t>
      </w:r>
    </w:p>
    <w:p>
      <w:pPr>
        <w:pStyle w:val="4"/>
        <w:rPr>
          <w:rFonts w:hint="eastAsia" w:cs="Times New Roman" w:asciiTheme="minorHAnsi" w:hAnsiTheme="minorHAnsi" w:eastAsiaTheme="minorEastAsia"/>
          <w:kern w:val="2"/>
          <w:sz w:val="21"/>
          <w:szCs w:val="24"/>
          <w:lang w:val="en-US" w:eastAsia="zh-CN" w:bidi="ar-SA"/>
        </w:rPr>
      </w:pPr>
      <w:bookmarkStart w:id="1" w:name="_Ref5177"/>
      <w:r>
        <w:rPr>
          <w:rFonts w:hint="eastAsia" w:cs="Times New Roman" w:asciiTheme="minorHAnsi" w:hAnsiTheme="minorHAnsi" w:eastAsiaTheme="minorEastAsia"/>
          <w:kern w:val="2"/>
          <w:sz w:val="21"/>
          <w:szCs w:val="24"/>
          <w:lang w:val="en-US" w:eastAsia="zh-CN" w:bidi="ar-SA"/>
        </w:rPr>
        <w:t xml:space="preserve">  Jordan J, Konstantinou K, O'Dowd J. Herniated lumbar disc[J]. BMJ Clin Evid. 2011;2011:1118.</w:t>
      </w:r>
      <w:bookmarkEnd w:id="1"/>
    </w:p>
    <w:p>
      <w:pPr>
        <w:pStyle w:val="4"/>
        <w:rPr>
          <w:rFonts w:hint="eastAsia" w:cs="Times New Roman" w:asciiTheme="minorHAnsi" w:hAnsiTheme="minorHAnsi" w:eastAsiaTheme="minorEastAsia"/>
          <w:kern w:val="2"/>
          <w:sz w:val="21"/>
          <w:szCs w:val="24"/>
          <w:lang w:val="en-US" w:eastAsia="zh-CN" w:bidi="ar-SA"/>
        </w:rPr>
      </w:pPr>
      <w:bookmarkStart w:id="2" w:name="_Ref29429"/>
      <w:r>
        <w:rPr>
          <w:rFonts w:hint="eastAsia" w:cs="Times New Roman" w:asciiTheme="minorHAnsi" w:hAnsiTheme="minorHAnsi" w:eastAsiaTheme="minorEastAsia"/>
          <w:kern w:val="2"/>
          <w:sz w:val="21"/>
          <w:szCs w:val="24"/>
          <w:lang w:val="en-US" w:eastAsia="zh-CN" w:bidi="ar-SA"/>
        </w:rPr>
        <w:t xml:space="preserve">  Zhang S, Xu H, Yin CH. Application of Oblique Lateral Interbody Fusion Combined with Bridge-Locking Cage in Adjacent Segment Disease After Lumbar Fusion[J]. Orthop Surg. 2022;14(12):3268-3276.</w:t>
      </w:r>
      <w:bookmarkEnd w:id="2"/>
    </w:p>
    <w:p>
      <w:pPr>
        <w:pStyle w:val="4"/>
        <w:rPr>
          <w:rFonts w:hint="eastAsia" w:cs="Times New Roman" w:asciiTheme="minorHAnsi" w:hAnsiTheme="minorHAnsi" w:eastAsiaTheme="minorEastAsia"/>
          <w:kern w:val="2"/>
          <w:sz w:val="21"/>
          <w:szCs w:val="24"/>
          <w:lang w:val="en-US" w:eastAsia="zh-CN" w:bidi="ar-SA"/>
        </w:rPr>
      </w:pPr>
      <w:r>
        <w:rPr>
          <w:rFonts w:hint="eastAsia" w:cs="Times New Roman" w:asciiTheme="minorHAnsi" w:hAnsiTheme="minorHAnsi" w:eastAsiaTheme="minorEastAsia"/>
          <w:kern w:val="2"/>
          <w:sz w:val="21"/>
          <w:szCs w:val="24"/>
          <w:lang w:val="en-US" w:eastAsia="zh-CN" w:bidi="ar-SA"/>
        </w:rPr>
        <w:t xml:space="preserve">  韩国嵩,马力,祁家龙,等.经椎板间入路单通道内镜与单侧双通道内镜治疗腰椎间盘突出症的临床比较[J].实用医学杂志,2024,40(11):1542-1548.</w:t>
      </w:r>
    </w:p>
    <w:p>
      <w:pPr>
        <w:pStyle w:val="4"/>
        <w:rPr>
          <w:rFonts w:hint="eastAsia" w:cs="Times New Roman" w:asciiTheme="minorHAnsi" w:hAnsiTheme="minorHAnsi" w:eastAsiaTheme="minorEastAsia"/>
          <w:kern w:val="2"/>
          <w:sz w:val="21"/>
          <w:szCs w:val="24"/>
          <w:lang w:val="en-US" w:eastAsia="zh-CN" w:bidi="ar-SA"/>
        </w:rPr>
      </w:pPr>
      <w:bookmarkStart w:id="3" w:name="_Ref4785"/>
      <w:r>
        <w:rPr>
          <w:rFonts w:hint="eastAsia" w:cs="Times New Roman" w:asciiTheme="minorHAnsi" w:hAnsiTheme="minorHAnsi" w:eastAsiaTheme="minorEastAsia"/>
          <w:kern w:val="2"/>
          <w:sz w:val="21"/>
          <w:szCs w:val="24"/>
          <w:lang w:val="en-US" w:eastAsia="zh-CN" w:bidi="ar-SA"/>
        </w:rPr>
        <w:t xml:space="preserve">  卢春闻,王辉,吴宏日,等.单边双通道内镜与传统后路腰椎椎体间融合术治疗单节段退行性腰椎滑脱伴腰椎管狭窄症的疗效分析[J].海军军医大学学报,2025,46(04):481-487.</w:t>
      </w:r>
      <w:bookmarkEnd w:id="3"/>
    </w:p>
    <w:p>
      <w:pPr>
        <w:pStyle w:val="4"/>
        <w:rPr>
          <w:rFonts w:ascii="Times New Roman" w:hAnsi="Times New Roman" w:cs="Times New Roman"/>
        </w:rPr>
      </w:pPr>
      <w:r>
        <w:rPr>
          <w:rFonts w:hint="eastAsia" w:ascii="Times New Roman" w:hAnsi="Times New Roman" w:cs="Times New Roman"/>
          <w:lang w:val="en-US" w:eastAsia="zh-CN"/>
        </w:rPr>
        <w:t xml:space="preserve">  </w:t>
      </w:r>
      <w:r>
        <w:rPr>
          <w:rFonts w:ascii="Times New Roman" w:hAnsi="Times New Roman" w:cs="Times New Roman"/>
        </w:rPr>
        <w:t>Schjerning AM, McGettigan P, Gislason G. Cardiovascular effects and safety of (non-aspirin) NSAIDs[J]. Nat Rev Cardiol. 2020;17(9):574-584.</w:t>
      </w:r>
    </w:p>
    <w:p>
      <w:pPr>
        <w:pStyle w:val="4"/>
        <w:rPr>
          <w:rFonts w:ascii="Times New Roman" w:hAnsi="Times New Roman" w:cs="Times New Roman"/>
        </w:rPr>
      </w:pPr>
      <w:r>
        <w:rPr>
          <w:rFonts w:hint="eastAsia" w:ascii="Times New Roman" w:hAnsi="Times New Roman" w:cs="Times New Roman"/>
        </w:rPr>
        <w:t xml:space="preserve"> </w:t>
      </w:r>
      <w:r>
        <w:rPr>
          <w:rFonts w:hint="eastAsia" w:ascii="Times New Roman" w:hAnsi="Times New Roman" w:cs="Times New Roman"/>
          <w:lang w:val="en-US" w:eastAsia="zh-CN"/>
        </w:rPr>
        <w:t xml:space="preserve"> </w:t>
      </w:r>
      <w:r>
        <w:rPr>
          <w:rFonts w:ascii="Times New Roman" w:hAnsi="Times New Roman" w:cs="Times New Roman"/>
        </w:rPr>
        <w:t>Fu JL, Perloff MD. Pharmacotherapy for Spine-Related Pain in Older Adults[J]. Drugs Aging. 2022;39(7):523-550.</w:t>
      </w:r>
    </w:p>
    <w:p>
      <w:pPr>
        <w:pStyle w:val="4"/>
        <w:rPr>
          <w:rFonts w:ascii="Times New Roman" w:hAnsi="Times New Roman" w:cs="Times New Roman"/>
        </w:rPr>
      </w:pPr>
      <w:r>
        <w:rPr>
          <w:rFonts w:hint="eastAsia" w:ascii="Times New Roman" w:hAnsi="Times New Roman" w:cs="Times New Roman"/>
          <w:lang w:val="en-US" w:eastAsia="zh-CN"/>
        </w:rPr>
        <w:t xml:space="preserve"> </w:t>
      </w:r>
      <w:r>
        <w:rPr>
          <w:rFonts w:ascii="Times New Roman" w:hAnsi="Times New Roman" w:cs="Times New Roman"/>
        </w:rPr>
        <w:t>Yeung A T. Minimally invasive disc surgery with the yeung endoscopic spine system (yess) [J]. Surg Technol Int, 1999, 8: 267-77.</w:t>
      </w:r>
    </w:p>
    <w:p>
      <w:pPr>
        <w:pStyle w:val="4"/>
        <w:rPr>
          <w:rFonts w:ascii="Times New Roman" w:hAnsi="Times New Roman" w:cs="Times New Roman"/>
        </w:rPr>
      </w:pPr>
      <w:bookmarkStart w:id="4" w:name="_Ref23533"/>
      <w:r>
        <w:rPr>
          <w:rFonts w:hint="eastAsia" w:ascii="Times New Roman" w:hAnsi="Times New Roman" w:cs="Times New Roman"/>
        </w:rPr>
        <w:t xml:space="preserve"> </w:t>
      </w:r>
      <w:r>
        <w:rPr>
          <w:rFonts w:ascii="Times New Roman" w:hAnsi="Times New Roman" w:cs="Times New Roman"/>
        </w:rPr>
        <w:t>Schubert M, Hoogland T. Endoscopic transforaminal nucleotomy with foraminoplasty for lumbar disk herniation [J]. Oper Orthop Traumatol, 2005, 17(6): 641-61.</w:t>
      </w:r>
      <w:bookmarkEnd w:id="4"/>
    </w:p>
    <w:p>
      <w:pPr>
        <w:pStyle w:val="4"/>
        <w:rPr>
          <w:rFonts w:ascii="Times New Roman" w:hAnsi="Times New Roman" w:cs="Times New Roman"/>
        </w:rPr>
      </w:pPr>
      <w:r>
        <w:rPr>
          <w:rFonts w:ascii="Times New Roman" w:hAnsi="Times New Roman" w:cs="Times New Roman"/>
        </w:rPr>
        <w:t>李翼,左铮云.方剂学[M].北京:中国中医药出版社,2021:265.</w:t>
      </w:r>
    </w:p>
    <w:p>
      <w:pPr>
        <w:pStyle w:val="4"/>
        <w:rPr>
          <w:rFonts w:ascii="Times New Roman" w:hAnsi="Times New Roman" w:cs="Times New Roman"/>
        </w:rPr>
      </w:pPr>
      <w:r>
        <w:rPr>
          <w:rFonts w:ascii="Times New Roman" w:hAnsi="Times New Roman" w:cs="Times New Roman"/>
        </w:rPr>
        <w:t xml:space="preserve">Sun K, Huang F, Qi B, et al. A systematic review and meta-analysis for Chinese herbal medicine Duhuo Jisheng decoction in treatment of lumbar disc herniation: A protocol for a systematic review[J]. Medicine (Baltimore). 2020;99(9):e19310. </w:t>
      </w:r>
    </w:p>
    <w:p>
      <w:pPr>
        <w:pStyle w:val="4"/>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Zhou D, Song C, Mei Y, et al. A review of Duhuo Jisheng decoction mechanisms in intervertebral disc degeneration in vitro and animal studies[J]. J Orthop Surg Res. 2023;18(1):436.</w:t>
      </w:r>
    </w:p>
    <w:p>
      <w:pPr>
        <w:pStyle w:val="4"/>
        <w:numPr>
          <w:ilvl w:val="0"/>
          <w:numId w:val="0"/>
        </w:numPr>
        <w:ind w:leftChars="0"/>
        <w:rPr>
          <w:rFonts w:hint="eastAsia" w:cs="Times New Roman" w:asciiTheme="minorHAnsi" w:hAnsiTheme="minorHAnsi" w:eastAsiaTheme="minorEastAsia"/>
          <w:kern w:val="2"/>
          <w:sz w:val="21"/>
          <w:szCs w:val="24"/>
          <w:lang w:val="en-US" w:eastAsia="zh-CN" w:bidi="ar-SA"/>
        </w:rPr>
      </w:pPr>
    </w:p>
    <w:p>
      <w:pPr>
        <w:rPr>
          <w:rFonts w:hint="eastAsia" w:cs="Times New Roman"/>
        </w:rPr>
      </w:pPr>
    </w:p>
    <w:p>
      <w:pPr>
        <w:numPr>
          <w:ilvl w:val="0"/>
          <w:numId w:val="0"/>
        </w:numPr>
        <w:ind w:leftChars="0" w:firstLine="420"/>
        <w:rPr>
          <w:rFonts w:hint="default" w:cs="Times New Roman"/>
          <w:lang w:val="en-US" w:eastAsia="zh-CN"/>
        </w:rPr>
      </w:pPr>
    </w:p>
    <w:p>
      <w:pPr>
        <w:numPr>
          <w:ilvl w:val="0"/>
          <w:numId w:val="0"/>
        </w:numPr>
        <w:ind w:leftChars="0"/>
        <w:rPr>
          <w:rFonts w:hint="eastAsia"/>
          <w:b/>
          <w:bCs/>
        </w:rPr>
      </w:pPr>
    </w:p>
    <w:p>
      <w:pPr>
        <w:ind w:firstLine="420" w:firstLineChars="200"/>
        <w:rPr>
          <w:rFonts w:cs="Times New Roman"/>
        </w:rPr>
      </w:pPr>
    </w:p>
    <w:p>
      <w:pPr>
        <w:rPr>
          <w:rFonts w:cs="Times New Roman"/>
        </w:rPr>
      </w:pPr>
    </w:p>
    <w:p>
      <w:pPr>
        <w:numPr>
          <w:ilvl w:val="0"/>
          <w:numId w:val="0"/>
        </w:numPr>
        <w:ind w:leftChars="0" w:firstLine="420" w:firstLineChars="200"/>
        <w:rPr>
          <w:rFonts w:hint="default" w:ascii="Times New Roman" w:hAnsi="Times New Roman" w:cs="Times New Roman"/>
          <w:szCs w:val="21"/>
          <w:lang w:val="en-US" w:eastAsia="zh-CN"/>
        </w:rPr>
      </w:pPr>
    </w:p>
    <w:p>
      <w:pPr>
        <w:numPr>
          <w:ilvl w:val="0"/>
          <w:numId w:val="0"/>
        </w:numPr>
        <w:rPr>
          <w:rFonts w:hint="default"/>
          <w:lang w:val="en-US" w:eastAsia="zh-CN"/>
        </w:rPr>
      </w:pPr>
    </w:p>
    <w:p>
      <w:pPr>
        <w:numPr>
          <w:ilvl w:val="0"/>
          <w:numId w:val="0"/>
        </w:numPr>
        <w:rPr>
          <w:rFonts w:hint="eastAsia" w:eastAsiaTheme="minorEastAsia"/>
          <w:b/>
          <w:bCs/>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p>
      <w:pPr>
        <w:jc w:val="both"/>
        <w:rPr>
          <w:rFonts w:hint="eastAsia" w:asciiTheme="majorEastAsia" w:hAnsiTheme="majorEastAsia" w:eastAsiaTheme="majorEastAsia" w:cstheme="majorEastAsia"/>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690B9"/>
    <w:multiLevelType w:val="singleLevel"/>
    <w:tmpl w:val="9ED690B9"/>
    <w:lvl w:ilvl="0" w:tentative="0">
      <w:start w:val="1"/>
      <w:numFmt w:val="decimal"/>
      <w:pStyle w:val="4"/>
      <w:suff w:val="nothing"/>
      <w:lvlText w:val="[%1]"/>
      <w:lvlJc w:val="left"/>
      <w:pPr>
        <w:tabs>
          <w:tab w:val="left" w:pos="0"/>
        </w:tabs>
      </w:pPr>
      <w:rPr>
        <w:rFonts w:hint="default"/>
      </w:rPr>
    </w:lvl>
  </w:abstractNum>
  <w:abstractNum w:abstractNumId="1">
    <w:nsid w:val="F7DBA49E"/>
    <w:multiLevelType w:val="singleLevel"/>
    <w:tmpl w:val="F7DBA49E"/>
    <w:lvl w:ilvl="0" w:tentative="0">
      <w:start w:val="1"/>
      <w:numFmt w:val="chineseCounting"/>
      <w:suff w:val="nothing"/>
      <w:lvlText w:val="%1、"/>
      <w:lvlJc w:val="left"/>
      <w:rPr>
        <w:rFonts w:hint="eastAsia"/>
      </w:rPr>
    </w:lvl>
  </w:abstractNum>
  <w:abstractNum w:abstractNumId="2">
    <w:nsid w:val="1CB24E5C"/>
    <w:multiLevelType w:val="singleLevel"/>
    <w:tmpl w:val="1CB24E5C"/>
    <w:lvl w:ilvl="0" w:tentative="0">
      <w:start w:val="1"/>
      <w:numFmt w:val="decimal"/>
      <w:suff w:val="space"/>
      <w:lvlText w:val="%1）"/>
      <w:lvlJc w:val="left"/>
    </w:lvl>
  </w:abstractNum>
  <w:abstractNum w:abstractNumId="3">
    <w:nsid w:val="3A41F5AB"/>
    <w:multiLevelType w:val="singleLevel"/>
    <w:tmpl w:val="3A41F5AB"/>
    <w:lvl w:ilvl="0" w:tentative="0">
      <w:start w:val="1"/>
      <w:numFmt w:val="decimal"/>
      <w:suff w:val="space"/>
      <w:lvlText w:val="%1）"/>
      <w:lvlJc w:val="left"/>
      <w:rPr>
        <w:rFonts w:hint="default"/>
        <w:b w:val="0"/>
        <w:bCs w:val="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5ZDUyZjkwNmUyYzBlMzc1OTBmYWY1MjQzYjI2NTUifQ=="/>
  </w:docVars>
  <w:rsids>
    <w:rsidRoot w:val="00000000"/>
    <w:rsid w:val="165D3116"/>
    <w:rsid w:val="18B20C23"/>
    <w:rsid w:val="398B2C14"/>
    <w:rsid w:val="414C5B13"/>
    <w:rsid w:val="4C44540F"/>
    <w:rsid w:val="664373F3"/>
    <w:rsid w:val="6E100EAB"/>
    <w:rsid w:val="6EB769F2"/>
    <w:rsid w:val="6EFC31D6"/>
    <w:rsid w:val="7FDA0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customStyle="1" w:styleId="4">
    <w:name w:val="文献格式"/>
    <w:basedOn w:val="1"/>
    <w:autoRedefine/>
    <w:qFormat/>
    <w:uiPriority w:val="0"/>
    <w:pPr>
      <w:numPr>
        <w:ilvl w:val="0"/>
        <w:numId w:val="1"/>
      </w:numPr>
      <w:tabs>
        <w:tab w:val="left" w:pos="397"/>
        <w:tab w:val="clear" w:pos="0"/>
      </w:tabs>
      <w:spacing w:line="300" w:lineRule="auto"/>
      <w:ind w:left="454" w:hanging="454"/>
    </w:pPr>
    <w:rPr>
      <w:rFonts w:eastAsia="宋体"/>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2026-04-11T14:09:00Z</dcterms:created>
  <dc:creator>140520</dc:creator>
  <cp:lastModifiedBy>Dream</cp:lastModifiedBy>
  <dcterms:modified xsi:type="dcterms:W3CDTF">2026-05-08T12:39:26Z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89CE892C8E5A425D9A51422F0A4EC74F_12</vt:lpwstr>
  </property>
</Properties>
</file>