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842BE" w14:textId="3E407418" w:rsidR="00A96645" w:rsidRDefault="00A96645">
      <w:pP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</w:pPr>
      <w:r>
        <w:rPr>
          <w:rFonts w:ascii="Helvetica" w:hAnsi="Helvetica" w:cs="Helvetica" w:hint="eastAsia"/>
          <w:color w:val="505050"/>
          <w:sz w:val="27"/>
          <w:szCs w:val="27"/>
          <w:shd w:val="clear" w:color="auto" w:fill="FFFFFF"/>
        </w:rPr>
        <w:t>PBX3</w:t>
      </w:r>
      <w:r>
        <w:rPr>
          <w:rFonts w:ascii="Helvetica" w:hAnsi="Helvetica" w:cs="Helvetica" w:hint="eastAsia"/>
          <w:color w:val="505050"/>
          <w:sz w:val="27"/>
          <w:szCs w:val="27"/>
          <w:shd w:val="clear" w:color="auto" w:fill="FFFFFF"/>
        </w:rPr>
        <w:t>：</w:t>
      </w:r>
      <w:r w:rsidR="00FD7FEA" w:rsidRPr="00FD7FEA"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>12571-1-AP</w:t>
      </w:r>
    </w:p>
    <w:p w14:paraId="47BF273D" w14:textId="19B4ACC6" w:rsidR="00A96645" w:rsidRDefault="00A96645">
      <w:pPr>
        <w:rPr>
          <w:rFonts w:ascii="Helvetica" w:hAnsi="Helvetica" w:cs="Helvetica" w:hint="eastAsia"/>
          <w:color w:val="505050"/>
          <w:sz w:val="27"/>
          <w:szCs w:val="27"/>
          <w:shd w:val="clear" w:color="auto" w:fill="FFFFFF"/>
        </w:rPr>
      </w:pPr>
      <w:hyperlink r:id="rId4" w:anchor="secsectitle0100" w:history="1">
        <w:r>
          <w:rPr>
            <w:rStyle w:val="ae"/>
          </w:rPr>
          <w:t>scRNA-Seq Reveals New Enteric Nervous System Roles for GDNF, NRTN, and TBX3 - Cellular and Molecular Gastroenterology and Hepatology (cmghjournal.org)</w:t>
        </w:r>
      </w:hyperlink>
    </w:p>
    <w:p w14:paraId="58BE95F2" w14:textId="67D6C2B3" w:rsidR="0018064A" w:rsidRDefault="00A96645"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 xml:space="preserve">Bowel stored at –20°C in 50% glycerol/50% PBS was rinsed in PBS, blocked (2 hours, PBS + 0.5% Triton X-100 (Sigma-Aldrich; Cat. #T8787) with 5% normal donkey serum (NDS) (Jackson </w:t>
      </w:r>
      <w:proofErr w:type="spellStart"/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>ImmunoResearch</w:t>
      </w:r>
      <w:proofErr w:type="spellEnd"/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 xml:space="preserve"> Laboratory, West Grove, PA; RRID: </w:t>
      </w:r>
      <w:hyperlink r:id="rId5" w:tgtFrame="_blank" w:history="1">
        <w:r>
          <w:rPr>
            <w:rStyle w:val="ae"/>
            <w:rFonts w:ascii="Helvetica" w:hAnsi="Helvetica" w:cs="Helvetica"/>
            <w:color w:val="005789"/>
            <w:sz w:val="27"/>
            <w:szCs w:val="27"/>
            <w:shd w:val="clear" w:color="auto" w:fill="FFFFFF"/>
          </w:rPr>
          <w:t>AB_2337258</w:t>
        </w:r>
      </w:hyperlink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>), incubated in primary antibody (</w:t>
      </w:r>
      <w:hyperlink r:id="rId6" w:anchor="tbl9" w:history="1">
        <w:r>
          <w:rPr>
            <w:rStyle w:val="ae"/>
            <w:rFonts w:ascii="Helvetica" w:hAnsi="Helvetica" w:cs="Helvetica"/>
            <w:color w:val="005789"/>
            <w:sz w:val="27"/>
            <w:szCs w:val="27"/>
            <w:shd w:val="clear" w:color="auto" w:fill="FFFFFF"/>
          </w:rPr>
          <w:t>Table 9</w:t>
        </w:r>
      </w:hyperlink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>) with gentle rocking (4°C, 2 days), except for ANNA-1, which was incubated overnight (4°C). After washing (3 × 5 minutes, 0.5% PBS + 0.5% Triton X-100) and secondary antibody (</w:t>
      </w:r>
      <w:hyperlink r:id="rId7" w:anchor="tbl9" w:history="1">
        <w:r>
          <w:rPr>
            <w:rStyle w:val="ae"/>
            <w:rFonts w:ascii="Helvetica" w:hAnsi="Helvetica" w:cs="Helvetica"/>
            <w:color w:val="005789"/>
            <w:sz w:val="27"/>
            <w:szCs w:val="27"/>
            <w:shd w:val="clear" w:color="auto" w:fill="FFFFFF"/>
          </w:rPr>
          <w:t>Table 9</w:t>
        </w:r>
      </w:hyperlink>
      <w:r>
        <w:rPr>
          <w:rFonts w:ascii="Helvetica" w:hAnsi="Helvetica" w:cs="Helvetica"/>
          <w:color w:val="505050"/>
          <w:sz w:val="27"/>
          <w:szCs w:val="27"/>
          <w:shd w:val="clear" w:color="auto" w:fill="FFFFFF"/>
        </w:rPr>
        <w:t>) incubation in blocking solution with gentle rocking (1 hour, RT), tissue was washed (3 × 5 minutes, PBS) and mounted in 50% glycerol/50% PBS.</w:t>
      </w:r>
    </w:p>
    <w:p w14:paraId="4F0402AC" w14:textId="23D26021" w:rsidR="00C172E2" w:rsidRDefault="0018064A">
      <w:r w:rsidRPr="0018064A">
        <w:drawing>
          <wp:inline distT="0" distB="0" distL="0" distR="0" wp14:anchorId="124FC4B3" wp14:editId="4A0C1172">
            <wp:extent cx="5274310" cy="1332230"/>
            <wp:effectExtent l="0" t="0" r="2540" b="1270"/>
            <wp:docPr id="374742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3"/>
        <w:gridCol w:w="2043"/>
      </w:tblGrid>
      <w:tr w:rsidR="00A96645" w:rsidRPr="00A96645" w14:paraId="12BC3D57" w14:textId="77777777" w:rsidTr="00A96645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9C8C6F" w14:textId="77777777" w:rsidR="00A96645" w:rsidRPr="00A96645" w:rsidRDefault="00A96645" w:rsidP="00A96645">
            <w:pPr>
              <w:widowControl/>
              <w:jc w:val="left"/>
              <w:rPr>
                <w:rFonts w:ascii="Helvetica" w:eastAsia="宋体" w:hAnsi="Helvetica" w:cs="Helvetica"/>
                <w:color w:val="505050"/>
                <w:kern w:val="0"/>
                <w:sz w:val="27"/>
                <w:szCs w:val="27"/>
              </w:rPr>
            </w:pPr>
            <w:r w:rsidRPr="00A96645">
              <w:rPr>
                <w:rFonts w:ascii="Helvetica" w:eastAsia="宋体" w:hAnsi="Helvetica" w:cs="Helvetica"/>
                <w:color w:val="505050"/>
                <w:kern w:val="0"/>
                <w:sz w:val="27"/>
                <w:szCs w:val="27"/>
              </w:rPr>
              <w:t>Rabbit anti-PBX3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C4534A" w14:textId="77777777" w:rsidR="00A96645" w:rsidRPr="00A96645" w:rsidRDefault="00A96645" w:rsidP="00A96645">
            <w:pPr>
              <w:widowControl/>
              <w:jc w:val="left"/>
              <w:rPr>
                <w:rFonts w:ascii="Helvetica" w:eastAsia="宋体" w:hAnsi="Helvetica" w:cs="Helvetica"/>
                <w:color w:val="505050"/>
                <w:kern w:val="0"/>
                <w:sz w:val="27"/>
                <w:szCs w:val="27"/>
              </w:rPr>
            </w:pPr>
            <w:r w:rsidRPr="00A96645">
              <w:rPr>
                <w:rFonts w:ascii="Helvetica" w:eastAsia="宋体" w:hAnsi="Helvetica" w:cs="Helvetica"/>
                <w:color w:val="505050"/>
                <w:kern w:val="0"/>
                <w:sz w:val="27"/>
                <w:szCs w:val="27"/>
              </w:rPr>
              <w:t>1:100</w:t>
            </w:r>
          </w:p>
        </w:tc>
      </w:tr>
    </w:tbl>
    <w:p w14:paraId="1AFA1340" w14:textId="299267BC" w:rsidR="00A96645" w:rsidRDefault="00A96645" w:rsidP="00FD7FEA">
      <w:pPr>
        <w:pStyle w:val="af"/>
      </w:pPr>
      <w:r>
        <w:rPr>
          <w:rFonts w:hint="eastAsia"/>
        </w:rPr>
        <w:t>二抗：1：400</w:t>
      </w:r>
      <w:r w:rsidR="00105872">
        <w:rPr>
          <w:rFonts w:hint="eastAsia"/>
        </w:rPr>
        <w:t xml:space="preserve"> RT1h</w:t>
      </w:r>
    </w:p>
    <w:p w14:paraId="1077E7B0" w14:textId="77777777" w:rsidR="00FD7FEA" w:rsidRDefault="00FD7FEA" w:rsidP="00FD7FEA">
      <w:pPr>
        <w:pStyle w:val="af"/>
      </w:pPr>
    </w:p>
    <w:p w14:paraId="13E0E263" w14:textId="63D2AC3E" w:rsidR="00FD7FEA" w:rsidRDefault="00FD7FEA" w:rsidP="00FD7FEA">
      <w:pPr>
        <w:pStyle w:val="af"/>
      </w:pPr>
      <w:r>
        <w:rPr>
          <w:rFonts w:hint="eastAsia"/>
        </w:rPr>
        <w:t>石蜡荧光：</w:t>
      </w:r>
    </w:p>
    <w:p w14:paraId="78D4821A" w14:textId="72F22BE9" w:rsidR="00FD7FEA" w:rsidRDefault="00FD7FEA" w:rsidP="00FD7FEA">
      <w:pPr>
        <w:pStyle w:val="af"/>
      </w:pPr>
      <w:r w:rsidRPr="00FD7FEA">
        <w:drawing>
          <wp:inline distT="0" distB="0" distL="0" distR="0" wp14:anchorId="4F8B7252" wp14:editId="175A4E33">
            <wp:extent cx="5274310" cy="499110"/>
            <wp:effectExtent l="0" t="0" r="2540" b="0"/>
            <wp:docPr id="123088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0D8" w14:textId="77777777" w:rsidR="00FD7FEA" w:rsidRDefault="00FD7FEA" w:rsidP="00FD7FEA">
      <w:pPr>
        <w:pStyle w:val="af"/>
      </w:pPr>
    </w:p>
    <w:p w14:paraId="4DAA5E4D" w14:textId="70F685C9" w:rsidR="00FD7FEA" w:rsidRDefault="00FD7FEA" w:rsidP="00FD7FEA">
      <w:pPr>
        <w:pStyle w:val="af"/>
      </w:pPr>
      <w:r w:rsidRPr="00FD7FEA">
        <w:t>Meis2 抗体 (H-10): sc-515470</w:t>
      </w:r>
      <w:r>
        <w:rPr>
          <w:rFonts w:hint="eastAsia"/>
        </w:rPr>
        <w:t>：</w:t>
      </w:r>
    </w:p>
    <w:p w14:paraId="02302DC5" w14:textId="146A18FB" w:rsidR="008D0B08" w:rsidRDefault="008D0B08" w:rsidP="00FD7FEA">
      <w:pPr>
        <w:pStyle w:val="af"/>
        <w:rPr>
          <w:rFonts w:hint="eastAsia"/>
        </w:rPr>
      </w:pPr>
      <w:hyperlink r:id="rId10" w:anchor="s0010" w:history="1">
        <w:r>
          <w:rPr>
            <w:rStyle w:val="ae"/>
          </w:rPr>
          <w:t>The transcription factor Tfap2e/AP-2ε plays a pivotal role in maintaining the identity of basal vomeronasal sensory neurons - ScienceDirect</w:t>
        </w:r>
      </w:hyperlink>
    </w:p>
    <w:p w14:paraId="4D8087CC" w14:textId="05A3E6C0" w:rsidR="00FD7FEA" w:rsidRDefault="00557003" w:rsidP="00FD7FEA">
      <w:pPr>
        <w:pStyle w:val="af"/>
      </w:pPr>
      <w:r w:rsidRPr="00557003">
        <w:lastRenderedPageBreak/>
        <w:drawing>
          <wp:inline distT="0" distB="0" distL="0" distR="0" wp14:anchorId="7BD80A38" wp14:editId="00890598">
            <wp:extent cx="5274310" cy="2938780"/>
            <wp:effectExtent l="0" t="0" r="2540" b="0"/>
            <wp:docPr id="1066339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91D5" w14:textId="21788032" w:rsidR="00557003" w:rsidRDefault="008D0B08" w:rsidP="00FD7FEA">
      <w:pPr>
        <w:pStyle w:val="af"/>
        <w:rPr>
          <w:rFonts w:ascii="Georgia" w:hAnsi="Georgia"/>
          <w:color w:val="1F1F1F"/>
        </w:rPr>
      </w:pPr>
      <w:r>
        <w:rPr>
          <w:rFonts w:ascii="Georgia" w:hAnsi="Georgia"/>
          <w:color w:val="1F1F1F"/>
        </w:rPr>
        <w:t>Citrate buffer (pH 6) microwave antigen retrieval</w:t>
      </w:r>
    </w:p>
    <w:p w14:paraId="2FFA4573" w14:textId="6D67BA8C" w:rsidR="008D0B08" w:rsidRDefault="008D0B08" w:rsidP="00FD7FEA">
      <w:pPr>
        <w:pStyle w:val="af"/>
        <w:rPr>
          <w:rFonts w:hint="eastAsia"/>
        </w:rPr>
      </w:pPr>
      <w:r>
        <w:rPr>
          <w:rFonts w:ascii="Georgia" w:hAnsi="Georgia"/>
          <w:color w:val="1F1F1F"/>
        </w:rPr>
        <w:t>Mouse anti-Meis2 (1:500, sc-515470, Santa Cruz),</w:t>
      </w:r>
    </w:p>
    <w:sectPr w:rsidR="008D0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BF"/>
    <w:rsid w:val="000B2F7F"/>
    <w:rsid w:val="00105872"/>
    <w:rsid w:val="0018064A"/>
    <w:rsid w:val="00557003"/>
    <w:rsid w:val="006A3F92"/>
    <w:rsid w:val="008D0B08"/>
    <w:rsid w:val="00A96645"/>
    <w:rsid w:val="00C172E2"/>
    <w:rsid w:val="00E633BF"/>
    <w:rsid w:val="00FB136D"/>
    <w:rsid w:val="00FD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2BFD"/>
  <w15:chartTrackingRefBased/>
  <w15:docId w15:val="{0E685B4C-1A90-45BA-B25C-AD239804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3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3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3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3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3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3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6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3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3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3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3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3B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A96645"/>
    <w:rPr>
      <w:color w:val="0000FF"/>
      <w:u w:val="single"/>
    </w:rPr>
  </w:style>
  <w:style w:type="paragraph" w:styleId="af">
    <w:name w:val="No Spacing"/>
    <w:uiPriority w:val="1"/>
    <w:qFormat/>
    <w:rsid w:val="00FD7FE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mghjournal.org/article/S2352-345X(20)30213-7/fulltex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mghjournal.org/article/S2352-345X(20)30213-7/fulltex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antibodyregistry.org/AB_2337258" TargetMode="External"/><Relationship Id="rId10" Type="http://schemas.openxmlformats.org/officeDocument/2006/relationships/hyperlink" Target="https://www.sciencedirect.com/science/article/pii/S0012160618301179?via%3Dihub" TargetMode="External"/><Relationship Id="rId4" Type="http://schemas.openxmlformats.org/officeDocument/2006/relationships/hyperlink" Target="https://www.cmghjournal.org/article/S2352-345X(20)30213-7/fulltext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Ziyue Zhou</dc:creator>
  <cp:keywords/>
  <dc:description/>
  <cp:lastModifiedBy>Ziyue Zhou</cp:lastModifiedBy>
  <cp:revision>3</cp:revision>
  <dcterms:created xsi:type="dcterms:W3CDTF">2024-06-20T10:27:00Z</dcterms:created>
  <dcterms:modified xsi:type="dcterms:W3CDTF">2024-06-20T12:40:00Z</dcterms:modified>
</cp:coreProperties>
</file>