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Log and Graph Report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Single-instance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TJ avg : 122530.1048408463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TS avg : 2287178.147004277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TJ avg : 213470.14439818318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TS  avg : 6378932.462225587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TJ avg : 90231.96707040121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TS avg : 1141736.4337623012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TJ avg : 108412.69473883422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TS avg : 1949459.4626040878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TJ avg : 147890.08626040877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TS avg : 2558404.6939061317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Scaled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TJ avg : 97146.61261875024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TS avg : 1436138.054577798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TJ avg : 113183.74761544284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TS avg : 3380212.158705526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TJ avg : 103621.85881907646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TS avg : 1406249.8955336865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TJ avg : 93333.84394398183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TS avg : 1406429.0242619228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4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