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75"/>
        <w:gridCol w:w="5828"/>
        <w:tblGridChange w:id="0">
          <w:tblGrid>
            <w:gridCol w:w="3775"/>
            <w:gridCol w:w="5828"/>
          </w:tblGrid>
        </w:tblGridChange>
      </w:tblGrid>
      <w:tr>
        <w:trPr>
          <w:cantSplit w:val="0"/>
          <w:trHeight w:val="290" w:hRule="atLeast"/>
          <w:tblHeader w:val="0"/>
        </w:trPr>
        <w:tc>
          <w:tcPr/>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Use Case ID</w:t>
            </w:r>
          </w:p>
        </w:tc>
        <w:tc>
          <w:tcPr/>
          <w:p w:rsidR="00000000" w:rsidDel="00000000" w:rsidP="00000000" w:rsidRDefault="00000000" w:rsidRPr="00000000" w14:paraId="00000003">
            <w:pPr>
              <w:rPr/>
            </w:pPr>
            <w:r w:rsidDel="00000000" w:rsidR="00000000" w:rsidRPr="00000000">
              <w:rPr>
                <w:rtl w:val="0"/>
              </w:rPr>
              <w:t xml:space="preserve">BYS-45</w:t>
            </w:r>
          </w:p>
        </w:tc>
      </w:tr>
      <w:tr>
        <w:trPr>
          <w:cantSplit w:val="0"/>
          <w:trHeight w:val="290" w:hRule="atLeast"/>
          <w:tblHeader w:val="0"/>
        </w:trPr>
        <w:tc>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Use Case Adı</w:t>
            </w:r>
          </w:p>
        </w:tc>
        <w:tc>
          <w:tcPr/>
          <w:p w:rsidR="00000000" w:rsidDel="00000000" w:rsidP="00000000" w:rsidRDefault="00000000" w:rsidRPr="00000000" w14:paraId="00000005">
            <w:pPr>
              <w:rPr/>
            </w:pPr>
            <w:r w:rsidDel="00000000" w:rsidR="00000000" w:rsidRPr="00000000">
              <w:rPr>
                <w:rtl w:val="0"/>
              </w:rPr>
              <w:t xml:space="preserve">Ödemeler – Ödeme Listeleri</w:t>
            </w:r>
          </w:p>
        </w:tc>
      </w:tr>
      <w:tr>
        <w:trPr>
          <w:cantSplit w:val="0"/>
          <w:trHeight w:val="290" w:hRule="atLeast"/>
          <w:tblHeader w:val="0"/>
        </w:trPr>
        <w:tc>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Oluşturan</w:t>
            </w:r>
          </w:p>
        </w:tc>
        <w:tc>
          <w:tcPr/>
          <w:p w:rsidR="00000000" w:rsidDel="00000000" w:rsidP="00000000" w:rsidRDefault="00000000" w:rsidRPr="00000000" w14:paraId="00000007">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Oluşturma Tarihi</w:t>
            </w:r>
          </w:p>
        </w:tc>
        <w:tc>
          <w:tcPr/>
          <w:p w:rsidR="00000000" w:rsidDel="00000000" w:rsidP="00000000" w:rsidRDefault="00000000" w:rsidRPr="00000000" w14:paraId="00000009">
            <w:pPr>
              <w:rPr/>
            </w:pPr>
            <w:r w:rsidDel="00000000" w:rsidR="00000000" w:rsidRPr="00000000">
              <w:rPr>
                <w:rtl w:val="0"/>
              </w:rPr>
              <w:t xml:space="preserve">16/09/2022</w:t>
            </w:r>
          </w:p>
        </w:tc>
      </w:tr>
      <w:tr>
        <w:trPr>
          <w:cantSplit w:val="0"/>
          <w:trHeight w:val="297" w:hRule="atLeast"/>
          <w:tblHeader w:val="0"/>
        </w:trPr>
        <w:tc>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Son Güncelleyen</w:t>
            </w:r>
          </w:p>
        </w:tc>
        <w:tc>
          <w:tcPr/>
          <w:p w:rsidR="00000000" w:rsidDel="00000000" w:rsidP="00000000" w:rsidRDefault="00000000" w:rsidRPr="00000000" w14:paraId="0000000B">
            <w:pPr>
              <w:rPr/>
            </w:pPr>
            <w:r w:rsidDel="00000000" w:rsidR="00000000" w:rsidRPr="00000000">
              <w:rPr>
                <w:rtl w:val="0"/>
              </w:rPr>
              <w:t xml:space="preserve">Umut Güngörür</w:t>
            </w:r>
          </w:p>
        </w:tc>
      </w:tr>
      <w:tr>
        <w:trPr>
          <w:cantSplit w:val="0"/>
          <w:trHeight w:val="290" w:hRule="atLeast"/>
          <w:tblHeader w:val="0"/>
        </w:trPr>
        <w:tc>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Güncelleme Tarihi</w:t>
            </w:r>
          </w:p>
        </w:tc>
        <w:tc>
          <w:tcPr/>
          <w:p w:rsidR="00000000" w:rsidDel="00000000" w:rsidP="00000000" w:rsidRDefault="00000000" w:rsidRPr="00000000" w14:paraId="0000000D">
            <w:pPr>
              <w:rPr/>
            </w:pPr>
            <w:r w:rsidDel="00000000" w:rsidR="00000000" w:rsidRPr="00000000">
              <w:rPr>
                <w:rtl w:val="0"/>
              </w:rPr>
              <w:t xml:space="preserve">16/09/2022</w:t>
            </w:r>
          </w:p>
        </w:tc>
      </w:tr>
    </w:tbl>
    <w:p w:rsidR="00000000" w:rsidDel="00000000" w:rsidP="00000000" w:rsidRDefault="00000000" w:rsidRPr="00000000" w14:paraId="0000000E">
      <w:pPr>
        <w:rPr/>
      </w:pPr>
      <w:r w:rsidDel="00000000" w:rsidR="00000000" w:rsidRPr="00000000">
        <w:rPr>
          <w:rtl w:val="0"/>
        </w:rPr>
      </w:r>
    </w:p>
    <w:tbl>
      <w:tblPr>
        <w:tblStyle w:val="Table2"/>
        <w:tblW w:w="9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5"/>
        <w:gridCol w:w="6023"/>
        <w:tblGridChange w:id="0">
          <w:tblGrid>
            <w:gridCol w:w="3595"/>
            <w:gridCol w:w="6023"/>
          </w:tblGrid>
        </w:tblGridChange>
      </w:tblGrid>
      <w:tr>
        <w:trPr>
          <w:cantSplit w:val="0"/>
          <w:trHeight w:val="373" w:hRule="atLeast"/>
          <w:tblHeader w:val="0"/>
        </w:trPr>
        <w:tc>
          <w:tcPr/>
          <w:p w:rsidR="00000000" w:rsidDel="00000000" w:rsidP="00000000" w:rsidRDefault="00000000" w:rsidRPr="00000000" w14:paraId="0000000F">
            <w:pPr>
              <w:rPr>
                <w:b w:val="1"/>
                <w:sz w:val="24"/>
                <w:szCs w:val="24"/>
              </w:rPr>
            </w:pPr>
            <w:r w:rsidDel="00000000" w:rsidR="00000000" w:rsidRPr="00000000">
              <w:rPr>
                <w:b w:val="1"/>
                <w:sz w:val="24"/>
                <w:szCs w:val="24"/>
                <w:rtl w:val="0"/>
              </w:rPr>
              <w:t xml:space="preserve">Yetkili Kullanıcı Profilleri</w:t>
            </w:r>
          </w:p>
        </w:tc>
        <w:tc>
          <w:tcPr/>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Talep Oluşturucu (FI)</w:t>
            </w:r>
          </w:p>
        </w:tc>
      </w:tr>
      <w:tr>
        <w:trPr>
          <w:cantSplit w:val="0"/>
          <w:trHeight w:val="710" w:hRule="atLeast"/>
          <w:tblHeader w:val="0"/>
        </w:trPr>
        <w:tc>
          <w:tcPr/>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Ana İşlemler</w:t>
            </w:r>
          </w:p>
        </w:tc>
        <w:tc>
          <w:tcPr/>
          <w:p w:rsidR="00000000" w:rsidDel="00000000" w:rsidP="00000000" w:rsidRDefault="00000000" w:rsidRPr="00000000" w14:paraId="00000012">
            <w:pPr>
              <w:jc w:val="center"/>
              <w:rPr/>
            </w:pPr>
            <w:r w:rsidDel="00000000" w:rsidR="00000000" w:rsidRPr="00000000">
              <w:rPr>
                <w:rtl w:val="0"/>
              </w:rPr>
              <w:t xml:space="preserve">1) “Filtre” bölümündeki temel fonksiyonlar önceki use-case sayfalarında açıklanmış olan filtre fonksiyonlardır. Bu sayfa özelindeki filtre bölümündeki tek fark “Fatura Tarihi Vade Aralığı” özelliğidir. Bu bölümdeki “Başlangıç” ve “Bitiş” butonları aracılığıyla belirli bir ödeme vadesi aralığı seçilir. “Filtre” bölümündeki “Uygula” butonuna tıklandığında seçili vade aralığına denk gelen müşteri ödemelerinin sipariş bazında listesi “Tedarikçi Faturaları Listesi” tablosunda görüntülenir.  </w:t>
            </w:r>
          </w:p>
          <w:p w:rsidR="00000000" w:rsidDel="00000000" w:rsidP="00000000" w:rsidRDefault="00000000" w:rsidRPr="00000000" w14:paraId="00000013">
            <w:pPr>
              <w:jc w:val="center"/>
              <w:rPr/>
            </w:pPr>
            <w:r w:rsidDel="00000000" w:rsidR="00000000" w:rsidRPr="00000000">
              <w:rPr>
                <w:rtl w:val="0"/>
              </w:rPr>
              <w:t xml:space="preserve"> </w:t>
            </w:r>
          </w:p>
          <w:p w:rsidR="00000000" w:rsidDel="00000000" w:rsidP="00000000" w:rsidRDefault="00000000" w:rsidRPr="00000000" w14:paraId="00000014">
            <w:pPr>
              <w:jc w:val="center"/>
              <w:rPr/>
            </w:pPr>
            <w:r w:rsidDel="00000000" w:rsidR="00000000" w:rsidRPr="00000000">
              <w:rPr>
                <w:rtl w:val="0"/>
              </w:rPr>
              <w:t xml:space="preserve">2) “Tedarikçi Faturaları Listesi” tablosundaki “Sipariş Numarası” kolonunda yer alan satınalma siparişi numaralarının (PO numaraları) yanındaki </w:t>
            </w:r>
            <w:r w:rsidDel="00000000" w:rsidR="00000000" w:rsidRPr="00000000">
              <w:rPr/>
              <w:drawing>
                <wp:inline distB="0" distT="0" distL="0" distR="0">
                  <wp:extent cx="160867" cy="167861"/>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867" cy="167861"/>
                          </a:xfrm>
                          <a:prstGeom prst="rect"/>
                          <a:ln/>
                        </pic:spPr>
                      </pic:pic>
                    </a:graphicData>
                  </a:graphic>
                </wp:inline>
              </w:drawing>
            </w:r>
            <w:r w:rsidDel="00000000" w:rsidR="00000000" w:rsidRPr="00000000">
              <w:rPr>
                <w:rtl w:val="0"/>
              </w:rPr>
              <w:t xml:space="preserve">  ikonunun üzerine gelindiğinde seçili olan satınalma siparişin pdf. formatında ve bir pop-up ekranında görüntülenir.</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3) “Sipariş Numarası” kolonunda yer alan satınalma siparişi numaralarının (PO numaraları) yanındaki </w:t>
            </w:r>
            <w:r w:rsidDel="00000000" w:rsidR="00000000" w:rsidRPr="00000000">
              <w:rPr/>
              <w:drawing>
                <wp:inline distB="0" distT="0" distL="0" distR="0">
                  <wp:extent cx="209550" cy="238125"/>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9550" cy="238125"/>
                          </a:xfrm>
                          <a:prstGeom prst="rect"/>
                          <a:ln/>
                        </pic:spPr>
                      </pic:pic>
                    </a:graphicData>
                  </a:graphic>
                </wp:inline>
              </w:drawing>
            </w:r>
            <w:r w:rsidDel="00000000" w:rsidR="00000000" w:rsidRPr="00000000">
              <w:rPr>
                <w:rtl w:val="0"/>
              </w:rPr>
              <w:t xml:space="preserve">ikonuna tıklandığında seçili olan satınalma siparişi (PO) ödeme listesine eklenmiş olur. </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3) “Tedarikçi Faturaları Listesi” tablosundaki kolonlar sırasıyla,</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Sipariş Numarası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(BuyerSoft kurumsal müşterilerinin ilgili tedarikçi firmaya göndermiş oldukları satınalma siparişlerinin PO numaralarıdır.)</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Tedarikçi Unvanı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(Ödeme yapılması planlanan ve PO bazında listeden seçilmiş olan tedarikçi firmanın firma unvanıdır.)</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Fatura Numarası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(Tedarikçi faturasına ait numaradır. BYS-37 sayfasında detayları açıklanmış olan “Fatura ve İrsaliye Bilgileri Giriş Formu” üzerinden tedarikçi tarafından girilmiş bir bilgidir.)</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Fatura Son Ödeme Tarihi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(bkz. Fatura Numarası)</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IBAN Numarası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(Buradaki bilgi ilgili kurumsal müşteriyle ERP entegrasyonu yapılmışsa tedarikçi vergi numarası kriteri baz alınarak otomatik olarak ERP ’den veya BuyerSoft uygulamasına kayıt olmuş olan tedarikçilerin doldurmak zorunda olduğu Tedarikçi Kayıt Formundan gelir. Bu form BuyerSoft web sitesi üzerinden tedarikçiler tarafından doldurulacak olan “Tedarikçi Detay” formunu temel alan bir formdur)</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Ana Kategori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 alanda drop down liste olarak sıralanan başlıklar “Yönetim Paneli” bölümünün “Kategori Tanımlamaları” sayfasına girilmiş olan bilgilerden gelir.)</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Alt Kategori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(bkz. Ana Kategori)</w:t>
            </w: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Döviz Birimi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(Seçili PO üzerindeki döviz birimi bilgisidir)</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 xml:space="preserve">Toplam Fatura Bedeli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(BYS-37 sayfasında detayları açıklanmış olan “Fatura ve İrsaliye Bilgileri Giriş Formu” üzerinden tedarikçi tarafından girilmiş KDV dahil fatura tutarı bilgisidir.)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4) “Tedarikçi Faturaları Listesi” tablosundaki “Toplam Fatura Bedeli” </w:t>
            </w:r>
            <w:r w:rsidDel="00000000" w:rsidR="00000000" w:rsidRPr="00000000">
              <w:rPr>
                <w:rtl w:val="0"/>
              </w:rPr>
              <w:t xml:space="preserve">kolonunun</w:t>
            </w:r>
            <w:r w:rsidDel="00000000" w:rsidR="00000000" w:rsidRPr="00000000">
              <w:rPr>
                <w:rtl w:val="0"/>
              </w:rPr>
              <w:t xml:space="preserve"> altında seçilmiş olan satınalma siparişleri bazında ödenmesi planlanan tedarikçi faturaları bedelinin “Genel Toplam” bilgisi yer alır. </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5) </w:t>
            </w:r>
            <w:r w:rsidDel="00000000" w:rsidR="00000000" w:rsidRPr="00000000">
              <w:rPr/>
              <w:drawing>
                <wp:inline distB="0" distT="0" distL="0" distR="0">
                  <wp:extent cx="834599" cy="229516"/>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34599" cy="229516"/>
                          </a:xfrm>
                          <a:prstGeom prst="rect"/>
                          <a:ln/>
                        </pic:spPr>
                      </pic:pic>
                    </a:graphicData>
                  </a:graphic>
                </wp:inline>
              </w:drawing>
            </w:r>
            <w:r w:rsidDel="00000000" w:rsidR="00000000" w:rsidRPr="00000000">
              <w:rPr>
                <w:rtl w:val="0"/>
              </w:rPr>
              <w:t xml:space="preserve"> butonuna tıklandığında satınalma siparişi bazında seçilmiş tedarikçi faturaları için ödeme listesi oluşturulmuş olur. Söz konusu bu liste pdf. veya Word formatındadır. Ödeme listesi oluşturulduğunda söz konusu ödeme listesine aynı zamanda bir ödeme listesi kodu atanır.  </w:t>
            </w:r>
          </w:p>
          <w:p w:rsidR="00000000" w:rsidDel="00000000" w:rsidP="00000000" w:rsidRDefault="00000000" w:rsidRPr="00000000" w14:paraId="00000027">
            <w:pPr>
              <w:jc w:val="center"/>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28">
            <w:pPr>
              <w:rPr>
                <w:b w:val="1"/>
                <w:sz w:val="24"/>
                <w:szCs w:val="24"/>
              </w:rPr>
            </w:pPr>
            <w:r w:rsidDel="00000000" w:rsidR="00000000" w:rsidRPr="00000000">
              <w:rPr>
                <w:b w:val="1"/>
                <w:sz w:val="24"/>
                <w:szCs w:val="24"/>
                <w:rtl w:val="0"/>
              </w:rPr>
              <w:t xml:space="preserve">İstisnai Durumlar</w:t>
            </w:r>
          </w:p>
        </w:tc>
        <w:tc>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YOK</w:t>
            </w:r>
          </w:p>
        </w:tc>
      </w:tr>
      <w:tr>
        <w:trPr>
          <w:cantSplit w:val="0"/>
          <w:trHeight w:val="328" w:hRule="atLeast"/>
          <w:tblHeader w:val="0"/>
        </w:trPr>
        <w:tc>
          <w:tcPr/>
          <w:p w:rsidR="00000000" w:rsidDel="00000000" w:rsidP="00000000" w:rsidRDefault="00000000" w:rsidRPr="00000000" w14:paraId="0000002A">
            <w:pPr>
              <w:rPr>
                <w:b w:val="1"/>
                <w:sz w:val="24"/>
                <w:szCs w:val="24"/>
              </w:rPr>
            </w:pPr>
            <w:r w:rsidDel="00000000" w:rsidR="00000000" w:rsidRPr="00000000">
              <w:rPr>
                <w:b w:val="1"/>
                <w:sz w:val="24"/>
                <w:szCs w:val="24"/>
                <w:rtl w:val="0"/>
              </w:rPr>
              <w:t xml:space="preserve">Bildirim Mesajları</w:t>
            </w:r>
          </w:p>
        </w:tc>
        <w:tc>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“Ödeme Listesi Oluştur” butonuna tıklandığında sayfanın sağ alt köşesinde “...(Ödeme Listesi Referans Numarası)...Referans Numaralı Ödeme Listesi Başarıyla Oluşturuldu” şeklinde bir pop-up penceresi görüntülenir. Bu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pop-up</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penceresinin içinde yeşil renkli bir tik ikonu bulunur.</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Aynı anda ilgili ödeme listesini onaylayacak / imzalayacak olan Onaylayıcı kullanıcı profiline sahip kullanıcılara da yeni bir bildirim mesajı gönderilir. Söz konusu bildirim mesajı, “...(Ödeme Listesi Referans Numarası)...Referans Numaralı Ödeme Listesi Onayınıza Gönderildi” şeklindedir.</w:t>
            </w:r>
          </w:p>
          <w:p w:rsidR="00000000" w:rsidDel="00000000" w:rsidP="00000000" w:rsidRDefault="00000000" w:rsidRPr="00000000" w14:paraId="0000002E">
            <w:pPr>
              <w:jc w:val="center"/>
              <w:rPr/>
            </w:pP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02F">
            <w:pPr>
              <w:rPr>
                <w:b w:val="1"/>
                <w:sz w:val="24"/>
                <w:szCs w:val="24"/>
              </w:rPr>
            </w:pPr>
            <w:r w:rsidDel="00000000" w:rsidR="00000000" w:rsidRPr="00000000">
              <w:rPr>
                <w:b w:val="1"/>
                <w:sz w:val="24"/>
                <w:szCs w:val="24"/>
                <w:rtl w:val="0"/>
              </w:rPr>
              <w:t xml:space="preserve">Notlar</w:t>
            </w:r>
          </w:p>
        </w:tc>
        <w:tc>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Örnek sayfa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tasarımlarındaki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tablonun adını “Tedarikçi Faturaları Listesi” olarak değiştirelim. </w:t>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74" w:right="0" w:hanging="36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“Tedarikçi Faturaları Listesi” tablosundaki “Sipariş Numarası” kolonunda yer alan satınalma siparişi numaralarının (PO numaraları) yanına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60867" cy="167861"/>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867" cy="16786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ikonunu ve buna bağlı olan fonksiyonu da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09550" cy="238125"/>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9550" cy="2381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ikonunun yanına ekleyelim.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drawing>
          <wp:inline distB="0" distT="0" distL="0" distR="0">
            <wp:extent cx="5760720" cy="4356100"/>
            <wp:effectExtent b="0" l="0" r="0" t="0"/>
            <wp:docPr id="1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6072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74" w:hanging="359.99999999999994"/>
      </w:pPr>
      <w:rPr>
        <w:rFonts w:ascii="Noto Sans Symbols" w:cs="Noto Sans Symbols" w:eastAsia="Noto Sans Symbols" w:hAnsi="Noto Sans Symbols"/>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tr-T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4"/>
      <w:szCs w:val="24"/>
    </w:rPr>
  </w:style>
  <w:style w:type="paragraph" w:styleId="Heading3">
    <w:name w:val="heading 3"/>
    <w:basedOn w:val="Normal"/>
    <w:next w:val="Normal"/>
    <w:pPr>
      <w:keepNext w:val="1"/>
      <w:spacing w:after="60" w:before="240" w:lineRule="auto"/>
    </w:pPr>
    <w:rPr>
      <w:rFonts w:ascii="Arial" w:cs="Arial" w:eastAsia="Arial" w:hAnsi="Arial"/>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val="1"/>
    <w:rsid w:val="00B96EA6"/>
    <w:pPr>
      <w:keepNext w:val="1"/>
      <w:spacing w:after="60" w:before="240"/>
      <w:outlineLvl w:val="0"/>
    </w:pPr>
    <w:rPr>
      <w:rFonts w:ascii="Arial" w:hAnsi="Arial"/>
      <w:b w:val="1"/>
      <w:kern w:val="28"/>
      <w:sz w:val="28"/>
    </w:rPr>
  </w:style>
  <w:style w:type="paragraph" w:styleId="Heading2">
    <w:name w:val="heading 2"/>
    <w:basedOn w:val="Normal"/>
    <w:next w:val="Normal"/>
    <w:link w:val="Heading2Char"/>
    <w:qFormat w:val="1"/>
    <w:rsid w:val="00B96EA6"/>
    <w:pPr>
      <w:keepNext w:val="1"/>
      <w:spacing w:after="60" w:before="240"/>
      <w:outlineLvl w:val="1"/>
    </w:pPr>
    <w:rPr>
      <w:rFonts w:ascii="Arial" w:hAnsi="Arial"/>
      <w:b w:val="1"/>
      <w:i w:val="1"/>
      <w:sz w:val="24"/>
    </w:rPr>
  </w:style>
  <w:style w:type="paragraph" w:styleId="Heading3">
    <w:name w:val="heading 3"/>
    <w:basedOn w:val="Normal"/>
    <w:next w:val="Normal"/>
    <w:link w:val="Heading3Char"/>
    <w:qFormat w:val="1"/>
    <w:rsid w:val="00B96EA6"/>
    <w:pPr>
      <w:keepNext w:val="1"/>
      <w:spacing w:after="60" w:before="240"/>
      <w:outlineLvl w:val="2"/>
    </w:pPr>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B96EA6"/>
    <w:rPr>
      <w:rFonts w:ascii="Arial" w:hAnsi="Arial"/>
      <w:b w:val="1"/>
      <w:kern w:val="28"/>
      <w:sz w:val="28"/>
      <w:lang w:eastAsia="de-CH"/>
    </w:rPr>
  </w:style>
  <w:style w:type="character" w:styleId="Heading2Char" w:customStyle="1">
    <w:name w:val="Heading 2 Char"/>
    <w:basedOn w:val="DefaultParagraphFont"/>
    <w:link w:val="Heading2"/>
    <w:rsid w:val="00B96EA6"/>
    <w:rPr>
      <w:rFonts w:ascii="Arial" w:hAnsi="Arial"/>
      <w:b w:val="1"/>
      <w:i w:val="1"/>
      <w:sz w:val="24"/>
      <w:lang w:eastAsia="de-CH"/>
    </w:rPr>
  </w:style>
  <w:style w:type="character" w:styleId="Heading3Char" w:customStyle="1">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val="1"/>
    <w:rsid w:val="00B96EA6"/>
    <w:pPr>
      <w:ind w:left="720"/>
    </w:pPr>
  </w:style>
  <w:style w:type="table" w:styleId="TableGrid">
    <w:name w:val="Table Grid"/>
    <w:basedOn w:val="TableNormal"/>
    <w:uiPriority w:val="39"/>
    <w:rsid w:val="00AF545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465D2B"/>
    <w:pPr>
      <w:tabs>
        <w:tab w:val="center" w:pos="4536"/>
        <w:tab w:val="right" w:pos="9072"/>
      </w:tabs>
    </w:pPr>
  </w:style>
  <w:style w:type="character" w:styleId="HeaderChar" w:customStyle="1">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val="1"/>
    <w:rsid w:val="00465D2B"/>
    <w:pPr>
      <w:tabs>
        <w:tab w:val="center" w:pos="4536"/>
        <w:tab w:val="right" w:pos="9072"/>
      </w:tabs>
    </w:pPr>
  </w:style>
  <w:style w:type="character" w:styleId="FooterChar" w:customStyle="1">
    <w:name w:val="Footer Char"/>
    <w:basedOn w:val="DefaultParagraphFont"/>
    <w:link w:val="Footer"/>
    <w:uiPriority w:val="99"/>
    <w:rsid w:val="00465D2B"/>
    <w:rPr>
      <w:lang w:eastAsia="de-CH"/>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XPcJ/UyXzUezzBe2LOomZdtzQ==">CgMxLjA4AHIhMVQtaDZMTGNvX0tOZ0tIZE12THFkNFgwTnZBRWFwemlO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2022-08-15T10:16:00Z</dcterms:created>
  <dc:creator>Umut Gungorur</dc:creator>
</cp:coreProperties>
</file>