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通过参数来确定要创建的实现对象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通过反射来实现简单工厂的开闭原则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Calendar，Jdbc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具体的创建实例是在子类中创建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UrlStreamhandlerfactory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抽象工厂：易于产品族编程，不易于产品结构编程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产品族：比如，美的空调，美的电视是“美的”的产品族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产品结构：比如，海尔空调，美的空调都是“空调”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源码：java.sql.connector; java.sql.statement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建造者:buider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简单时：工厂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复杂时：建造者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源码：StringBuilder；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单例模式：singleton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概念：私有构造器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延迟加载：懒汉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实用技能：反编译，内存原理，多线程debug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单例与工厂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单例与享元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双重检查-&gt;私有构造器作用-&gt;静态块单例-&gt;饿汉式单例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安全问题：（8-6：源码分析）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反序列化和反射攻击：implement，serlise， readResolve；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Enum枚举单例，原理源码解析以及反编译：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源码反编译工具：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"https://varaneckas.com/jad"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https://varaneckas.com/jad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ContainerSingleton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基于ThreadLocal的“单例”：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8-10 单例设计模式-ThreadLocal线程单例 (04_44)[00-01-53][20190127-23213899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-10 单例设计模式-ThreadLocal线程单例 (04_44)[00-01-53][20190127-23213899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为每个线程保留一个独立副本。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源码：Runtime；DeskTop;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单例：ErrorContext;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外观（门面facade）模式：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外观模式和中介者模式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外观模式和单例模式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外观模式和抽象模式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源码：jdbcUtils,Tomcat requestFacade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适配器模式</w:t>
      </w:r>
      <w:r>
        <w:rPr>
          <w:rFonts w:hint="eastAsia"/>
          <w:lang w:val="en-US" w:eastAsia="zh-CN"/>
        </w:rPr>
        <w:t>（亡羊补牢adapt）：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类似电源适配器；使不同接口的类，有相同或者相似的结果时，使用；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考虑全局，复杂度；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复用现有的接口;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类适配器：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对象适配器：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例子：220V适配5V;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被适配的对象：220V；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目标target：5V;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Xmladapt;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享元模式(flyweight:轻量级)：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尽量少的创建对象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*关注内/外部状态，线程安全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内部状态：在模式内部，不随外部变化而变化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*复杂度增加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*享元模式和代理模式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*享元模式和单例模式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Interger.valueof();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组合模式(节点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处理树形结构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业务逻辑复杂不宜使用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*组合模式和访问者模式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8670" cy="222504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Java.awt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ArraryList addAll();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桥接模式（brige）；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抽象不忍与实现部分分离，使他们独立的变化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通过组合的方式建立两个类之间的联系，而不是继承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抽象和具体实现之间增加更多的灵活性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桥接和组合模式：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桥接和适配器模式：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9387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jdbc .drive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代理模式：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*将代理对象与真实被调用的对象分里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*降低耦合，扩展性好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*保护目标对象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*增强目标对象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--无法代理类，只能代理接口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--类代理；注意final修饰符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Spring代理选择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*当Bean有实现接口时，Spring使用JDDK的东岱代理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*当Bean没有实现接口时，Spring使用CGLib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*可以强制使用Cglib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*在Spring配置中加入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35610"/>
            <wp:effectExtent l="0" t="0" r="698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34670"/>
            <wp:effectExtent l="0" t="0" r="190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速度对比：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JDK&gt;GC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代理模式和装饰者模式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代理模式和适配器模式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--静态代理 proxy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12520"/>
            <wp:effectExtent l="0" t="0" r="381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--动态代理&lt;AOP&gt;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ProxyFactoryBean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JdkDynamicAopProxy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CgLibAopProxy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--CGlib代理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模板方法模式（behavioral）：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*一次性实现一个算法不变的部分，并将可变的行为留给子类来实现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*各子类的公共行为被提取出来集中在一个父类，避免代码重复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模板和工厂方法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模板和策略模式（ifelse 使用）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381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163"/>
    <w:rsid w:val="00A34D44"/>
    <w:rsid w:val="00B470C0"/>
    <w:rsid w:val="00EF7B3C"/>
    <w:rsid w:val="01051AEB"/>
    <w:rsid w:val="011A39E8"/>
    <w:rsid w:val="01227389"/>
    <w:rsid w:val="01DF5C60"/>
    <w:rsid w:val="024D1935"/>
    <w:rsid w:val="026E49AA"/>
    <w:rsid w:val="02FC3FCA"/>
    <w:rsid w:val="032C517B"/>
    <w:rsid w:val="033D6913"/>
    <w:rsid w:val="03687FFC"/>
    <w:rsid w:val="039231E2"/>
    <w:rsid w:val="03C85F7D"/>
    <w:rsid w:val="04E12C71"/>
    <w:rsid w:val="053900B0"/>
    <w:rsid w:val="05E77BE7"/>
    <w:rsid w:val="06593E5A"/>
    <w:rsid w:val="070D4333"/>
    <w:rsid w:val="07521CB5"/>
    <w:rsid w:val="07EF0F40"/>
    <w:rsid w:val="08015A5D"/>
    <w:rsid w:val="086E5F33"/>
    <w:rsid w:val="08AD630A"/>
    <w:rsid w:val="0925454F"/>
    <w:rsid w:val="096F5D61"/>
    <w:rsid w:val="0A9F3C31"/>
    <w:rsid w:val="0AC873F6"/>
    <w:rsid w:val="0B9E3083"/>
    <w:rsid w:val="0BC47872"/>
    <w:rsid w:val="0C3C11A8"/>
    <w:rsid w:val="0C436C2E"/>
    <w:rsid w:val="0C5015BA"/>
    <w:rsid w:val="0CB40C30"/>
    <w:rsid w:val="0E3E38B6"/>
    <w:rsid w:val="0E4306ED"/>
    <w:rsid w:val="0E6A77F2"/>
    <w:rsid w:val="0ED90B07"/>
    <w:rsid w:val="0F7A3CB1"/>
    <w:rsid w:val="0FA645CF"/>
    <w:rsid w:val="0FB52E21"/>
    <w:rsid w:val="0FB55F12"/>
    <w:rsid w:val="0FB77BA2"/>
    <w:rsid w:val="1023448E"/>
    <w:rsid w:val="10451CD1"/>
    <w:rsid w:val="105E30ED"/>
    <w:rsid w:val="105F73A1"/>
    <w:rsid w:val="10A232A6"/>
    <w:rsid w:val="112514C0"/>
    <w:rsid w:val="11655D4B"/>
    <w:rsid w:val="126403C5"/>
    <w:rsid w:val="12832E6C"/>
    <w:rsid w:val="128D34AC"/>
    <w:rsid w:val="12BC6648"/>
    <w:rsid w:val="131A293D"/>
    <w:rsid w:val="13480EAD"/>
    <w:rsid w:val="13A31589"/>
    <w:rsid w:val="13ED0A2B"/>
    <w:rsid w:val="13ED277D"/>
    <w:rsid w:val="13FE0838"/>
    <w:rsid w:val="14646FAA"/>
    <w:rsid w:val="1518005F"/>
    <w:rsid w:val="153A5C33"/>
    <w:rsid w:val="1597147E"/>
    <w:rsid w:val="166A17FB"/>
    <w:rsid w:val="16AE42C4"/>
    <w:rsid w:val="16C0159B"/>
    <w:rsid w:val="16D204BC"/>
    <w:rsid w:val="16E110FB"/>
    <w:rsid w:val="17296B5D"/>
    <w:rsid w:val="1889474A"/>
    <w:rsid w:val="189C37A8"/>
    <w:rsid w:val="19614800"/>
    <w:rsid w:val="1A4B72F3"/>
    <w:rsid w:val="1A816EEB"/>
    <w:rsid w:val="1B112300"/>
    <w:rsid w:val="1BF0040F"/>
    <w:rsid w:val="1C5A4CA8"/>
    <w:rsid w:val="1C8D040B"/>
    <w:rsid w:val="1D552657"/>
    <w:rsid w:val="1DB25784"/>
    <w:rsid w:val="1E0C4955"/>
    <w:rsid w:val="1E0E0ED6"/>
    <w:rsid w:val="1F494F04"/>
    <w:rsid w:val="1F541568"/>
    <w:rsid w:val="1F7A1887"/>
    <w:rsid w:val="200F2651"/>
    <w:rsid w:val="21715EEA"/>
    <w:rsid w:val="21A8313B"/>
    <w:rsid w:val="21E351E0"/>
    <w:rsid w:val="22203DFA"/>
    <w:rsid w:val="2247583E"/>
    <w:rsid w:val="22B42804"/>
    <w:rsid w:val="22DA0CFF"/>
    <w:rsid w:val="23BD5235"/>
    <w:rsid w:val="23DE451B"/>
    <w:rsid w:val="247B0EC3"/>
    <w:rsid w:val="24837AC0"/>
    <w:rsid w:val="257F7578"/>
    <w:rsid w:val="263D526F"/>
    <w:rsid w:val="26BD15A9"/>
    <w:rsid w:val="288A5C0A"/>
    <w:rsid w:val="28C77A73"/>
    <w:rsid w:val="28F137FA"/>
    <w:rsid w:val="290E0D32"/>
    <w:rsid w:val="29DD29CA"/>
    <w:rsid w:val="29F47F6F"/>
    <w:rsid w:val="2A7A254A"/>
    <w:rsid w:val="2AC849DA"/>
    <w:rsid w:val="2ACA1636"/>
    <w:rsid w:val="2BCA05EE"/>
    <w:rsid w:val="2C2610C7"/>
    <w:rsid w:val="2C4C7193"/>
    <w:rsid w:val="2CB66F03"/>
    <w:rsid w:val="2CD85BA4"/>
    <w:rsid w:val="2D125ED7"/>
    <w:rsid w:val="2D473E14"/>
    <w:rsid w:val="2D7F36FF"/>
    <w:rsid w:val="2D956EAD"/>
    <w:rsid w:val="2DD34248"/>
    <w:rsid w:val="2E172FE8"/>
    <w:rsid w:val="2E5A447A"/>
    <w:rsid w:val="2F0202E9"/>
    <w:rsid w:val="2F214F01"/>
    <w:rsid w:val="2F717B57"/>
    <w:rsid w:val="2FBA2A2F"/>
    <w:rsid w:val="2FCF7D86"/>
    <w:rsid w:val="30BC2D02"/>
    <w:rsid w:val="31C34FCE"/>
    <w:rsid w:val="31C77752"/>
    <w:rsid w:val="31CA569B"/>
    <w:rsid w:val="31D7100B"/>
    <w:rsid w:val="32197E7F"/>
    <w:rsid w:val="3266011B"/>
    <w:rsid w:val="32D37128"/>
    <w:rsid w:val="330E666F"/>
    <w:rsid w:val="33756773"/>
    <w:rsid w:val="33E960EC"/>
    <w:rsid w:val="33F05800"/>
    <w:rsid w:val="343B654F"/>
    <w:rsid w:val="344B64D1"/>
    <w:rsid w:val="36A6605A"/>
    <w:rsid w:val="36E8392C"/>
    <w:rsid w:val="36F5512B"/>
    <w:rsid w:val="370232D5"/>
    <w:rsid w:val="37537DF7"/>
    <w:rsid w:val="380B3F9C"/>
    <w:rsid w:val="38A9084C"/>
    <w:rsid w:val="38C25BB8"/>
    <w:rsid w:val="38CA282E"/>
    <w:rsid w:val="39490C28"/>
    <w:rsid w:val="3A1916A2"/>
    <w:rsid w:val="3A7F3782"/>
    <w:rsid w:val="3B3019D9"/>
    <w:rsid w:val="3B8F5FC5"/>
    <w:rsid w:val="3BA908EA"/>
    <w:rsid w:val="3BF14AD0"/>
    <w:rsid w:val="3CE869AC"/>
    <w:rsid w:val="3D9A2E36"/>
    <w:rsid w:val="3DE70526"/>
    <w:rsid w:val="3DF4366D"/>
    <w:rsid w:val="3E7655FF"/>
    <w:rsid w:val="3F4D65FC"/>
    <w:rsid w:val="3F62344C"/>
    <w:rsid w:val="402A401E"/>
    <w:rsid w:val="403726F4"/>
    <w:rsid w:val="406554EF"/>
    <w:rsid w:val="40C940CC"/>
    <w:rsid w:val="411F3831"/>
    <w:rsid w:val="41286C8B"/>
    <w:rsid w:val="413A4CE9"/>
    <w:rsid w:val="41456E3A"/>
    <w:rsid w:val="415B55F3"/>
    <w:rsid w:val="416F53ED"/>
    <w:rsid w:val="41BA51DD"/>
    <w:rsid w:val="41FE6C51"/>
    <w:rsid w:val="42813417"/>
    <w:rsid w:val="42813ACB"/>
    <w:rsid w:val="429D411F"/>
    <w:rsid w:val="42AD22E6"/>
    <w:rsid w:val="42BF37B9"/>
    <w:rsid w:val="43875A54"/>
    <w:rsid w:val="43A51AAB"/>
    <w:rsid w:val="43C710A5"/>
    <w:rsid w:val="4459778A"/>
    <w:rsid w:val="44BF28E5"/>
    <w:rsid w:val="44E2748A"/>
    <w:rsid w:val="450F4E47"/>
    <w:rsid w:val="451C0D60"/>
    <w:rsid w:val="46267FA7"/>
    <w:rsid w:val="467F3C8D"/>
    <w:rsid w:val="46857171"/>
    <w:rsid w:val="4689346C"/>
    <w:rsid w:val="470668BD"/>
    <w:rsid w:val="47817D3D"/>
    <w:rsid w:val="47FB538E"/>
    <w:rsid w:val="48041612"/>
    <w:rsid w:val="486E0C4A"/>
    <w:rsid w:val="49013039"/>
    <w:rsid w:val="49414E80"/>
    <w:rsid w:val="4991450B"/>
    <w:rsid w:val="49C8316D"/>
    <w:rsid w:val="4A22429E"/>
    <w:rsid w:val="4A40760E"/>
    <w:rsid w:val="4B2764A9"/>
    <w:rsid w:val="4B2E3161"/>
    <w:rsid w:val="4BB10E03"/>
    <w:rsid w:val="4BC86EDE"/>
    <w:rsid w:val="4BD90BC4"/>
    <w:rsid w:val="4CBF2331"/>
    <w:rsid w:val="4D1A543C"/>
    <w:rsid w:val="4DA50993"/>
    <w:rsid w:val="4DB73EC3"/>
    <w:rsid w:val="4DEA223A"/>
    <w:rsid w:val="4E4B6611"/>
    <w:rsid w:val="4E787C69"/>
    <w:rsid w:val="4EAB2B54"/>
    <w:rsid w:val="4F410E20"/>
    <w:rsid w:val="4F5134ED"/>
    <w:rsid w:val="4FAF7720"/>
    <w:rsid w:val="501D7078"/>
    <w:rsid w:val="509A0501"/>
    <w:rsid w:val="51387C90"/>
    <w:rsid w:val="51E25574"/>
    <w:rsid w:val="51F818B3"/>
    <w:rsid w:val="52D46E8B"/>
    <w:rsid w:val="52D745D5"/>
    <w:rsid w:val="534E629D"/>
    <w:rsid w:val="53711624"/>
    <w:rsid w:val="53B43B6D"/>
    <w:rsid w:val="53B63233"/>
    <w:rsid w:val="543A45C3"/>
    <w:rsid w:val="54800B1A"/>
    <w:rsid w:val="54C6565D"/>
    <w:rsid w:val="54EF7657"/>
    <w:rsid w:val="55517F17"/>
    <w:rsid w:val="55B25102"/>
    <w:rsid w:val="55FD10DB"/>
    <w:rsid w:val="56423FDE"/>
    <w:rsid w:val="56750136"/>
    <w:rsid w:val="56A54518"/>
    <w:rsid w:val="57864AA7"/>
    <w:rsid w:val="57CE6C13"/>
    <w:rsid w:val="585B734B"/>
    <w:rsid w:val="58D07EE8"/>
    <w:rsid w:val="58F96AE2"/>
    <w:rsid w:val="58FB21A3"/>
    <w:rsid w:val="58FC1C75"/>
    <w:rsid w:val="5A513FE1"/>
    <w:rsid w:val="5A6B1010"/>
    <w:rsid w:val="5A866B7F"/>
    <w:rsid w:val="5B4B4932"/>
    <w:rsid w:val="5B6E40FB"/>
    <w:rsid w:val="5B733488"/>
    <w:rsid w:val="5BF959B1"/>
    <w:rsid w:val="5C971A91"/>
    <w:rsid w:val="5CEB7A95"/>
    <w:rsid w:val="5D1019B9"/>
    <w:rsid w:val="5D292E19"/>
    <w:rsid w:val="5D361140"/>
    <w:rsid w:val="5D54697C"/>
    <w:rsid w:val="5D5A0522"/>
    <w:rsid w:val="5DA7353F"/>
    <w:rsid w:val="5E027428"/>
    <w:rsid w:val="5E4D14F8"/>
    <w:rsid w:val="5F222F69"/>
    <w:rsid w:val="5FA57E93"/>
    <w:rsid w:val="607A1A5A"/>
    <w:rsid w:val="60A27BF7"/>
    <w:rsid w:val="619F4AA6"/>
    <w:rsid w:val="61B16875"/>
    <w:rsid w:val="61D17558"/>
    <w:rsid w:val="61DF297F"/>
    <w:rsid w:val="629872BC"/>
    <w:rsid w:val="636C1964"/>
    <w:rsid w:val="655331D8"/>
    <w:rsid w:val="65962AA3"/>
    <w:rsid w:val="665355BB"/>
    <w:rsid w:val="66CE4D2D"/>
    <w:rsid w:val="673F5AE3"/>
    <w:rsid w:val="675658E0"/>
    <w:rsid w:val="677E24AC"/>
    <w:rsid w:val="67CC6916"/>
    <w:rsid w:val="67D60119"/>
    <w:rsid w:val="680E7049"/>
    <w:rsid w:val="68181973"/>
    <w:rsid w:val="6867098C"/>
    <w:rsid w:val="68D3171F"/>
    <w:rsid w:val="694F7C37"/>
    <w:rsid w:val="69514684"/>
    <w:rsid w:val="69EE0643"/>
    <w:rsid w:val="6A2D4445"/>
    <w:rsid w:val="6ACE3CAD"/>
    <w:rsid w:val="6AE02168"/>
    <w:rsid w:val="6BFE7A6B"/>
    <w:rsid w:val="6C3C673B"/>
    <w:rsid w:val="6C555069"/>
    <w:rsid w:val="6CFB032A"/>
    <w:rsid w:val="6D493802"/>
    <w:rsid w:val="6D692DA3"/>
    <w:rsid w:val="6DB1417D"/>
    <w:rsid w:val="6E9A13DF"/>
    <w:rsid w:val="6EA5751F"/>
    <w:rsid w:val="6EC209AF"/>
    <w:rsid w:val="6EC3528D"/>
    <w:rsid w:val="6F6503BC"/>
    <w:rsid w:val="70CC69E9"/>
    <w:rsid w:val="70D31ED3"/>
    <w:rsid w:val="70E80BEB"/>
    <w:rsid w:val="71482A08"/>
    <w:rsid w:val="714D421A"/>
    <w:rsid w:val="71BA5E72"/>
    <w:rsid w:val="71CA4A27"/>
    <w:rsid w:val="7215361E"/>
    <w:rsid w:val="725C46C2"/>
    <w:rsid w:val="726253CA"/>
    <w:rsid w:val="72990018"/>
    <w:rsid w:val="735F5178"/>
    <w:rsid w:val="75023AF5"/>
    <w:rsid w:val="75617B49"/>
    <w:rsid w:val="75794704"/>
    <w:rsid w:val="75E01082"/>
    <w:rsid w:val="76061B3C"/>
    <w:rsid w:val="766E5A01"/>
    <w:rsid w:val="76C01961"/>
    <w:rsid w:val="77105854"/>
    <w:rsid w:val="77107ABC"/>
    <w:rsid w:val="773173AE"/>
    <w:rsid w:val="777343EA"/>
    <w:rsid w:val="777B6D75"/>
    <w:rsid w:val="77CB55C9"/>
    <w:rsid w:val="78061DAF"/>
    <w:rsid w:val="784B1195"/>
    <w:rsid w:val="7AF72F03"/>
    <w:rsid w:val="7B840BF5"/>
    <w:rsid w:val="7BA32003"/>
    <w:rsid w:val="7BFB556D"/>
    <w:rsid w:val="7C0F6555"/>
    <w:rsid w:val="7C3B45AD"/>
    <w:rsid w:val="7CDE3B6B"/>
    <w:rsid w:val="7D8176A9"/>
    <w:rsid w:val="7E3E5340"/>
    <w:rsid w:val="7E8A2A8E"/>
    <w:rsid w:val="7EB443A3"/>
    <w:rsid w:val="7EE355BA"/>
    <w:rsid w:val="7F2424A7"/>
    <w:rsid w:val="7FA11DFD"/>
    <w:rsid w:val="7FB86FBE"/>
    <w:rsid w:val="7FD741C9"/>
    <w:rsid w:val="7FF35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ZJson</cp:lastModifiedBy>
  <dcterms:modified xsi:type="dcterms:W3CDTF">2019-03-07T14:27:06Z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