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0" w:after="240" w:line="240" w:lineRule="auto"/>
        <w:jc w:val="center"/>
      </w:pPr>
      <w:r>
        <w:rPr>
          <w:rFonts w:ascii="Hiragino Sans GB" w:hAnsi="Hiragino Sans GB" w:eastAsia="Hiragino Sans GB" w:cs="Hiragino Sans GB"/>
          <w:b/>
          <w:color w:val="667085"/>
          <w:sz w:val="20"/>
        </w:rPr>
        <w:t>RESEARCH WORKFLOW GUIDE</w:t>
      </w:r>
    </w:p>
    <w:p>
      <w:pPr>
        <w:spacing w:before="0" w:after="120" w:line="240" w:lineRule="auto"/>
        <w:jc w:val="center"/>
      </w:pPr>
      <w:r>
        <w:rPr>
          <w:rFonts w:ascii="Hiragino Sans GB" w:hAnsi="Hiragino Sans GB" w:eastAsia="Hiragino Sans GB" w:cs="Hiragino Sans GB"/>
          <w:b/>
          <w:color w:val="1E293B"/>
          <w:sz w:val="56"/>
        </w:rPr>
        <w:t>学者论文画像 Agent</w:t>
      </w:r>
    </w:p>
    <w:p>
      <w:pPr>
        <w:spacing w:before="0" w:after="440" w:line="264" w:lineRule="auto"/>
        <w:jc w:val="center"/>
      </w:pPr>
      <w:r>
        <w:rPr>
          <w:rFonts w:ascii="Hiragino Sans GB" w:hAnsi="Hiragino Sans GB" w:eastAsia="Hiragino Sans GB" w:cs="Hiragino Sans GB"/>
          <w:color w:val="1F4D78"/>
          <w:sz w:val="30"/>
        </w:rPr>
        <w:t>从论文 PDF 到可追溯研究画像的完整工作流程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21"/>
              </w:rPr>
              <w:t xml:space="preserve">适用范围  </w:t>
            </w:r>
            <w:r>
              <w:rPr>
                <w:rFonts w:ascii="Hiragino Sans GB" w:hAnsi="Hiragino Sans GB" w:eastAsia="Hiragino Sans GB" w:cs="Hiragino Sans GB"/>
                <w:color w:val="1E293B"/>
                <w:sz w:val="21"/>
              </w:rPr>
              <w:t>面向需要批量处理某位学者几十篇论文的用户：支持 PDF 或 Markdown 输入、GPU/CPU 路由、逐篇论文卡片、研究轨迹分析、作者画像与最终 PDF 汇总。</w:t>
            </w:r>
          </w:p>
        </w:tc>
      </w:tr>
    </w:tbl>
    <w:p>
      <w:pPr>
        <w:spacing w:after="60"/>
      </w:pPr>
    </w:p>
    <w:p>
      <w:pPr>
        <w:spacing w:before="280" w:after="0" w:line="240" w:lineRule="auto"/>
        <w:jc w:val="center"/>
      </w:pPr>
      <w:r>
        <w:rPr>
          <w:rFonts w:ascii="Hiragino Sans GB" w:hAnsi="Hiragino Sans GB" w:eastAsia="Hiragino Sans GB" w:cs="Hiragino Sans GB"/>
          <w:color w:val="667085"/>
          <w:sz w:val="20"/>
        </w:rPr>
        <w:t>版本 1.0  |  2026 年 7 月</w:t>
      </w:r>
    </w:p>
    <w:p>
      <w:r>
        <w:br w:type="page"/>
      </w:r>
    </w:p>
    <w:p>
      <w:pPr>
        <w:pStyle w:val="Heading1"/>
        <w:spacing w:before="320" w:after="160" w:line="264" w:lineRule="auto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一、流程总览</w:t>
      </w:r>
    </w:p>
    <w:p>
      <w:pPr>
        <w:spacing w:before="0" w:after="120" w:line="300" w:lineRule="auto"/>
        <w:jc w:val="left"/>
      </w:pPr>
      <w:r>
        <w:rPr>
          <w:rFonts w:ascii="Hiragino Sans GB" w:hAnsi="Hiragino Sans GB" w:eastAsia="Hiragino Sans GB" w:cs="Hiragino Sans GB"/>
          <w:color w:val="1E293B"/>
          <w:sz w:val="22"/>
        </w:rPr>
        <w:t>这个 Agent 不把几十篇论文一次性塞进上下文，而是先把每篇论文沉淀为可校验、可追溯的结构化卡片，再据此综合研究阶段和作者画像。这样既便于质量控制，也能在中断后继续执行。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接收学者姓名与论文目录，建立论文清单和运行目录。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若需要转换，主动检测实际运行 Marker 的本地硬件和 Conda 环境。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根据 CUDA、MPS、CPU 或直接 PDF 路径处理每篇论文。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按每批 5 篇生成并校验论文卡片。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按每批 8 篇提炼研究主题，再形成研究阶段分析与作者画像。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把作者画像、方法说明和全部论文卡片汇总为 Markdown 与 PDF，并进行渲染检查。</w:t>
      </w:r>
    </w:p>
    <w:p>
      <w:pPr>
        <w:pStyle w:val="Heading1"/>
        <w:spacing w:before="320" w:after="160" w:line="264" w:lineRule="auto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二、开始前需要的内容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学者姓名：用于报告标题和语料归属说明。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论文目录：可包含 PDF、Markdown，或两者混合。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输出语言：默认中文；卡片中的原始 Abstract 可保留英文。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如需 Marker 转换：提供已能运行 Marker 的 Conda 环境名或 Python 路径。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21"/>
              </w:rPr>
              <w:t xml:space="preserve">原则  </w:t>
            </w:r>
            <w:r>
              <w:rPr>
                <w:rFonts w:ascii="Hiragino Sans GB" w:hAnsi="Hiragino Sans GB" w:eastAsia="Hiragino Sans GB" w:cs="Hiragino Sans GB"/>
                <w:color w:val="1E293B"/>
                <w:sz w:val="21"/>
              </w:rPr>
              <w:t>原始论文不会被移动或覆盖。所有中间产物和最终文件写入独立的 run 目录。已有可信 Markdown 时，Agent 会直接跳过 OCR。</w:t>
            </w:r>
          </w:p>
        </w:tc>
      </w:tr>
    </w:tbl>
    <w:p>
      <w:pPr>
        <w:spacing w:after="60"/>
      </w:pPr>
    </w:p>
    <w:p>
      <w:pPr>
        <w:pStyle w:val="Heading1"/>
        <w:spacing w:before="320" w:after="160" w:line="264" w:lineRule="auto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三、建立清单与断点状态</w:t>
      </w:r>
    </w:p>
    <w:p>
      <w:pPr>
        <w:spacing w:before="0" w:after="120" w:line="300" w:lineRule="auto"/>
        <w:jc w:val="left"/>
      </w:pPr>
      <w:r>
        <w:rPr>
          <w:rFonts w:ascii="Hiragino Sans GB" w:hAnsi="Hiragino Sans GB" w:eastAsia="Hiragino Sans GB" w:cs="Hiragino Sans GB"/>
          <w:color w:val="1E293B"/>
          <w:sz w:val="22"/>
        </w:rPr>
        <w:t>Agent 扫描源目录后创建 manifest.json 与 inventory.md。每篇论文会获得稳定 ID，并记录 PDF/Markdown 路径、文件哈希、标题和年份猜测、是否纳入、转换状态及卡片状态。</w:t>
      </w:r>
    </w:p>
    <w:p>
      <w:pPr>
        <w:spacing w:before="0" w:after="120" w:line="300" w:lineRule="auto"/>
        <w:jc w:val="left"/>
      </w:pPr>
      <w:r>
        <w:rPr>
          <w:rFonts w:ascii="Hiragino Sans GB" w:hAnsi="Hiragino Sans GB" w:eastAsia="Hiragino Sans GB" w:cs="Hiragino Sans GB"/>
          <w:color w:val="1E293B"/>
          <w:sz w:val="22"/>
        </w:rPr>
        <w:t>清单阶段会检查工作论文与正式发表版本等重复风险。默认优先保留正式版本；被排除的版本必须记录原因，不能静默重复计入研究成果。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当某个源文件哈希变化时，只有该论文的旧卡片会失效。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运行中断后可根据 manifest.json 继续，已完成的论文不需要重做。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用户可先人工查看 inventory.md，再决定是否排除重复版本。</w:t>
      </w:r>
    </w:p>
    <w:p>
      <w:pPr>
        <w:pStyle w:val="Heading1"/>
        <w:spacing w:before="320" w:after="160" w:line="264" w:lineRule="auto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四、硬件探测与格式转换决策</w:t>
      </w:r>
    </w:p>
    <w:p>
      <w:pPr>
        <w:spacing w:before="0" w:after="120" w:line="300" w:lineRule="auto"/>
        <w:jc w:val="left"/>
      </w:pPr>
      <w:r>
        <w:rPr>
          <w:rFonts w:ascii="Hiragino Sans GB" w:hAnsi="Hiragino Sans GB" w:eastAsia="Hiragino Sans GB" w:cs="Hiragino Sans GB"/>
          <w:color w:val="1E293B"/>
          <w:sz w:val="22"/>
        </w:rPr>
        <w:t>若目录中仍有 PDF，Agent 先在实际负责转换的那台机器、那个 Conda 环境中运行 hardware_probe.py。显卡在另一台电脑上可见并没有意义；必须是 Marker 运行环境自己能看见的设备。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20"/>
        <w:gridCol w:w="4240"/>
        <w:gridCol w:w="3000"/>
      </w:tblGrid>
      <w:tr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检测结果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Agent 行为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用户确认点</w:t>
            </w:r>
          </w:p>
        </w:tc>
      </w:tr>
      <w:tr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E293B"/>
                <w:sz w:val="18"/>
              </w:rPr>
              <w:t>CUDA 可用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E293B"/>
                <w:sz w:val="18"/>
              </w:rPr>
              <w:t>先用 Marker 转换一篇，检查质量后批量转换。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E293B"/>
                <w:sz w:val="18"/>
              </w:rPr>
              <w:t>首次模型权重下载或批量开始前。</w:t>
            </w:r>
          </w:p>
        </w:tc>
      </w:tr>
      <w:tr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E293B"/>
                <w:sz w:val="18"/>
              </w:rPr>
              <w:t>Apple MPS 可用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E293B"/>
                <w:sz w:val="18"/>
              </w:rPr>
              <w:t>尝试 MPS；若 Marker 版本不支持则切换 CPU 或直接 PDF。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E293B"/>
                <w:sz w:val="18"/>
              </w:rPr>
              <w:t>切换路径前。</w:t>
            </w:r>
          </w:p>
        </w:tc>
      </w:tr>
      <w:tr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E293B"/>
                <w:sz w:val="18"/>
              </w:rPr>
              <w:t>有 NVIDIA，但 Torch 无 CUDA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E293B"/>
                <w:sz w:val="18"/>
              </w:rPr>
              <w:t>报告 Conda/PyTorch 不匹配，不按显卡型号盲装 CUDA。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E293B"/>
                <w:sz w:val="18"/>
              </w:rPr>
              <w:t>创建或修复环境前。</w:t>
            </w:r>
          </w:p>
        </w:tc>
      </w:tr>
      <w:tr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E293B"/>
                <w:sz w:val="18"/>
              </w:rPr>
              <w:t>仅 CPU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E293B"/>
                <w:sz w:val="18"/>
              </w:rPr>
              <w:t>先转换一篇，记录耗时并估算全量时间。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E293B"/>
                <w:sz w:val="18"/>
              </w:rPr>
              <w:t>确认是否继续 CPU 批处理。</w:t>
            </w:r>
          </w:p>
        </w:tc>
      </w:tr>
      <w:tr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E293B"/>
                <w:sz w:val="18"/>
              </w:rPr>
              <w:t>直接 PDF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E293B"/>
                <w:sz w:val="18"/>
              </w:rPr>
              <w:t>不生成伪 Markdown；卡片标注降级来源并降低置信度。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E293B"/>
                <w:sz w:val="18"/>
              </w:rPr>
              <w:t>必须由用户明确选择。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21"/>
              </w:rPr>
              <w:t xml:space="preserve">为什么不自动安装 CUDA  </w:t>
            </w:r>
            <w:r>
              <w:rPr>
                <w:rFonts w:ascii="Hiragino Sans GB" w:hAnsi="Hiragino Sans GB" w:eastAsia="Hiragino Sans GB" w:cs="Hiragino Sans GB"/>
                <w:color w:val="1E293B"/>
                <w:sz w:val="21"/>
              </w:rPr>
              <w:t>GPU 型号不能单独决定 CUDA 方案。兼容性同时取决于驱动、操作系统、Python、PyTorch 构建和 Marker 版本。多数 PyTorch 包已携带所需 CUDA runtime；修改环境或下载模型权重前必须获得用户确认。</w:t>
            </w:r>
          </w:p>
        </w:tc>
      </w:tr>
    </w:tbl>
    <w:p>
      <w:pPr>
        <w:spacing w:after="60"/>
      </w:pPr>
    </w:p>
    <w:p>
      <w:pPr>
        <w:pStyle w:val="Heading1"/>
        <w:spacing w:before="320" w:after="160" w:line="264" w:lineRule="auto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五、PDF 转 Markdown</w:t>
      </w:r>
    </w:p>
    <w:p>
      <w:pPr>
        <w:pStyle w:val="Heading2"/>
        <w:spacing w:before="280" w:after="120" w:line="264" w:lineRule="auto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5.1 Marker 加速或 CPU 转换</w:t>
      </w:r>
    </w:p>
    <w:p>
      <w:pPr>
        <w:spacing w:before="0" w:after="120" w:line="300" w:lineRule="auto"/>
        <w:jc w:val="left"/>
      </w:pPr>
      <w:r>
        <w:rPr>
          <w:rFonts w:ascii="Hiragino Sans GB" w:hAnsi="Hiragino Sans GB" w:eastAsia="Hiragino Sans GB" w:cs="Hiragino Sans GB"/>
          <w:color w:val="1E293B"/>
          <w:sz w:val="22"/>
        </w:rPr>
        <w:t>Marker Worker 支持单篇或批量转换，并支持 auto、cuda、mps、cpu 四种设备模式。每篇 PDF 输出一个同名 Markdown；已完成文件被保留，失败文件会在状态中记录。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先用一篇具有代表性的论文试运行。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检查 Markdown 的开头、中间和结尾，重点看摘要、章节、表格、公式与多栏顺序。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CPU 路线记录单篇耗时，估算全量时间并征求用户是否继续。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试运行合格后才启动整批转换。</w:t>
      </w:r>
    </w:p>
    <w:p>
      <w:pPr>
        <w:pStyle w:val="Heading2"/>
        <w:spacing w:before="280" w:after="120" w:line="264" w:lineRule="auto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5.2 直接 PDF 降级路径</w:t>
      </w:r>
    </w:p>
    <w:p>
      <w:pPr>
        <w:spacing w:before="0" w:after="120" w:line="300" w:lineRule="auto"/>
        <w:jc w:val="left"/>
      </w:pPr>
      <w:r>
        <w:rPr>
          <w:rFonts w:ascii="Hiragino Sans GB" w:hAnsi="Hiragino Sans GB" w:eastAsia="Hiragino Sans GB" w:cs="Hiragino Sans GB"/>
          <w:color w:val="1E293B"/>
          <w:sz w:val="22"/>
        </w:rPr>
        <w:t>当用户明确选择直接 PDF 分析时，Agent 不会生成伪 Markdown，而会在 manifest 中将论文标记为 pdf_direct。后续卡片直接依据 PDF 文本提取和关键页面检查生成。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卡片 notes 必须注明直接 PDF 降级。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内容置信度只能为 medium 或 low。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扫描件、复杂公式、图表、多栏阅读顺序等风险必须写入局限。</w:t>
      </w:r>
    </w:p>
    <w:p>
      <w:pPr>
        <w:pStyle w:val="Heading1"/>
        <w:spacing w:before="320" w:after="160" w:line="264" w:lineRule="auto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六、逐篇论文卡片</w:t>
      </w:r>
    </w:p>
    <w:p>
      <w:pPr>
        <w:spacing w:before="0" w:after="120" w:line="300" w:lineRule="auto"/>
        <w:jc w:val="left"/>
      </w:pPr>
      <w:r>
        <w:rPr>
          <w:rFonts w:ascii="Hiragino Sans GB" w:hAnsi="Hiragino Sans GB" w:eastAsia="Hiragino Sans GB" w:cs="Hiragino Sans GB"/>
          <w:color w:val="1E293B"/>
          <w:sz w:val="22"/>
        </w:rPr>
        <w:t>Agent 每批处理 5 篇论文。它必须阅读完整 Markdown，或在直接 PDF 模式下检查可提取文本与关键页面；不得只根据 Abstract 推断全文结论。</w:t>
      </w:r>
    </w:p>
    <w:p>
      <w:pPr>
        <w:spacing w:before="0" w:after="120" w:line="300" w:lineRule="auto"/>
        <w:jc w:val="left"/>
      </w:pPr>
      <w:r>
        <w:rPr>
          <w:rFonts w:ascii="Hiragino Sans GB" w:hAnsi="Hiragino Sans GB" w:eastAsia="Hiragino Sans GB" w:cs="Hiragino Sans GB"/>
          <w:color w:val="1E293B"/>
          <w:sz w:val="22"/>
        </w:rPr>
        <w:t>每篇论文写入一个 JSON 卡片。JSON 是事实层，Markdown 卡片只是阅读版，因此作者画像可以追溯到具体论文，而不是依赖一次性的长上下文总结。</w:t>
      </w:r>
    </w:p>
    <w:p>
      <w:pPr>
        <w:pStyle w:val="Heading2"/>
        <w:spacing w:before="280" w:after="120" w:line="264" w:lineRule="auto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卡片必含字段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书目信息：标题、作者、年份、期刊或工作论文来源、DOI。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论文类型：实证、理论、方法、综述、评论。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原始 Abstract、中文摘要、核心问题。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核心观点、论据、定位：如 Results、Table 3、Proposition 2。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论证链条、研究设计、数据、样本、识别策略或模型假设。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类型专属字段：识别策略、核心机制、方法论贡献、综述框架或论述路径。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局限、关键词、书目信息置信度、内容置信度和备注。</w:t>
      </w:r>
    </w:p>
    <w:p>
      <w:pPr>
        <w:pStyle w:val="Heading1"/>
        <w:spacing w:before="320" w:after="160" w:line="264" w:lineRule="auto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七、校验、去重与恢复</w:t>
      </w:r>
    </w:p>
    <w:p>
      <w:pPr>
        <w:spacing w:before="0" w:after="120" w:line="300" w:lineRule="auto"/>
        <w:jc w:val="left"/>
      </w:pPr>
      <w:r>
        <w:rPr>
          <w:rFonts w:ascii="Hiragino Sans GB" w:hAnsi="Hiragino Sans GB" w:eastAsia="Hiragino Sans GB" w:cs="Hiragino Sans GB"/>
          <w:color w:val="1E293B"/>
          <w:sz w:val="22"/>
        </w:rPr>
        <w:t>每批卡片完成后，Agent 自动检查字段完整性、论文 ID 与源文件哈希、观点是否有证据定位、论证链条是否完整、论文类型是否合法，以及直接 PDF 路线是否正确降级。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发现无效 JSON、缺失字段或哈希不匹配时，只修复被点名的论文。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检查重复标题和 DOI，避免一个成果以多个版本重复出现。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验证通过的 JSON 会渲染为 paper_cards.md 与 cards/index.md。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21"/>
              </w:rPr>
              <w:t xml:space="preserve">禁止进入下一阶段的情形  </w:t>
            </w:r>
            <w:r>
              <w:rPr>
                <w:rFonts w:ascii="Hiragino Sans GB" w:hAnsi="Hiragino Sans GB" w:eastAsia="Hiragino Sans GB" w:cs="Hiragino Sans GB"/>
                <w:color w:val="1E293B"/>
                <w:sz w:val="21"/>
              </w:rPr>
              <w:t>仍有无效卡片、需要转换但未处理的 PDF、无法说明的版本重复，或直接 PDF 卡片被标为 high 置信度。</w:t>
            </w:r>
          </w:p>
        </w:tc>
      </w:tr>
    </w:tbl>
    <w:p>
      <w:pPr>
        <w:spacing w:after="60"/>
      </w:pPr>
    </w:p>
    <w:p>
      <w:pPr>
        <w:pStyle w:val="Heading1"/>
        <w:spacing w:before="320" w:after="160" w:line="264" w:lineRule="auto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八、研究阶段分析与作者画像</w:t>
      </w:r>
    </w:p>
    <w:p>
      <w:pPr>
        <w:spacing w:before="0" w:after="120" w:line="300" w:lineRule="auto"/>
        <w:jc w:val="left"/>
      </w:pPr>
      <w:r>
        <w:rPr>
          <w:rFonts w:ascii="Hiragino Sans GB" w:hAnsi="Hiragino Sans GB" w:eastAsia="Hiragino Sans GB" w:cs="Hiragino Sans GB"/>
          <w:color w:val="1E293B"/>
          <w:sz w:val="22"/>
        </w:rPr>
        <w:t>全部卡片验证通过后，Agent 每 8 篇建立一个主题包。主题包提炼研究问题、数据和方法、主要结论、研究对象变化、潜在张力和论文 ID。随后综合所有主题包与卡片索引生成 author_portrait.md。</w:t>
      </w:r>
    </w:p>
    <w:p>
      <w:pPr>
        <w:pStyle w:val="Heading2"/>
        <w:spacing w:before="280" w:after="120" w:line="264" w:lineRule="auto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研究阶段的判定标准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核心问题是否改变。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分析层次是否改变，例如个股、机构、市场或政策。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数据、方法或模型框架是否发生持续变化。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研究对象、目标读者或研究方向是否发生真实扩展。</w:t>
      </w:r>
    </w:p>
    <w:p>
      <w:pPr>
        <w:spacing w:before="0" w:after="120" w:line="300" w:lineRule="auto"/>
        <w:jc w:val="left"/>
      </w:pPr>
      <w:r>
        <w:rPr>
          <w:rFonts w:ascii="Hiragino Sans GB" w:hAnsi="Hiragino Sans GB" w:eastAsia="Hiragino Sans GB" w:cs="Hiragino Sans GB"/>
          <w:color w:val="1E293B"/>
          <w:sz w:val="22"/>
        </w:rPr>
        <w:t>阶段数量由论文证据决定，不强制分成三段。阶段分析可以列出代表论文；连续的作者画像则提升到研究问题和方法论层面，避免逐篇复述结果。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Documented：直接由论文卡片支持。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Cross-paper synthesis：由多篇论文共同支持的模式。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Interpretation：合理但尚不能证明的解释，必须明确标注。</w:t>
      </w:r>
    </w:p>
    <w:p>
      <w:pPr>
        <w:pStyle w:val="Heading1"/>
        <w:spacing w:before="320" w:after="160" w:line="264" w:lineRule="auto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九、报告汇总与 PDF 质量检查</w:t>
      </w:r>
    </w:p>
    <w:p>
      <w:pPr>
        <w:spacing w:before="0" w:after="120" w:line="300" w:lineRule="auto"/>
        <w:jc w:val="left"/>
      </w:pPr>
      <w:r>
        <w:rPr>
          <w:rFonts w:ascii="Hiragino Sans GB" w:hAnsi="Hiragino Sans GB" w:eastAsia="Hiragino Sans GB" w:cs="Hiragino Sans GB"/>
          <w:color w:val="1E293B"/>
          <w:sz w:val="22"/>
        </w:rPr>
        <w:t>最终报告包含语料与方法说明、版本排除说明、研究阶段分析、作者画像、局限与待确认事项，以及全部论文卡片附录。先写入 Markdown，再渲染为 PDF。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检查 PDF 页数与文本提取是否正常。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渲染页面并检查封面、阶段转换页、卡片页和末页。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确认中文字体、标题层级、分页、表格与长段落没有空白页、截断、重叠或乱码。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最终报告纳入篇数、排除版本数、直接 PDF 降级篇数、年份范围与低置信度字段。</w:t>
      </w:r>
    </w:p>
    <w:p>
      <w:r>
        <w:br w:type="page"/>
      </w:r>
    </w:p>
    <w:p>
      <w:pPr>
        <w:pStyle w:val="Heading1"/>
        <w:spacing w:before="320" w:after="160" w:line="264" w:lineRule="auto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十、运行目录与最终交付</w:t>
      </w:r>
    </w:p>
    <w:p>
      <w:pPr>
        <w:spacing w:before="0" w:after="120" w:line="300" w:lineRule="auto"/>
        <w:jc w:val="left"/>
      </w:pPr>
      <w:r>
        <w:rPr>
          <w:rFonts w:ascii="Hiragino Sans GB" w:hAnsi="Hiragino Sans GB" w:eastAsia="Hiragino Sans GB" w:cs="Hiragino Sans GB"/>
          <w:color w:val="1E293B"/>
          <w:sz w:val="22"/>
        </w:rPr>
        <w:t>下列目录结构使所有中间结论都可追溯、可恢复，也便于用户只重跑失败环节。</w:t>
      </w:r>
    </w:p>
    <w:p>
      <w:pPr>
        <w:spacing w:before="0" w:after="120" w:line="276" w:lineRule="auto"/>
      </w:pPr>
      <w:r>
        <w:rPr>
          <w:rFonts w:ascii="Hiragino Sans GB" w:hAnsi="Hiragino Sans GB" w:eastAsia="Hiragino Sans GB" w:cs="Hiragino Sans GB"/>
          <w:color w:val="1E293B"/>
          <w:sz w:val="19"/>
        </w:rPr>
        <w:t>run/</w:t>
        <w:br/>
        <w:t xml:space="preserve">  manifest.json                 论文状态、哈希和断点信息</w:t>
        <w:br/>
        <w:t xml:space="preserve">  inventory.md                  可人工核对的论文清单</w:t>
        <w:br/>
        <w:t xml:space="preserve">  hardware.json                 硬件与 Marker 环境检测结果</w:t>
        <w:br/>
        <w:t xml:space="preserve">  markdown/                     Marker 转换后的 Markdown</w:t>
        <w:br/>
        <w:t xml:space="preserve">  cards/&lt;paper_id&gt;.json         每篇论文的事实层卡片</w:t>
        <w:br/>
        <w:t xml:space="preserve">  paper_cards.md                已验证卡片的阅读版</w:t>
        <w:br/>
        <w:t xml:space="preserve">  synthesis/                    分批研究主题分析</w:t>
        <w:br/>
        <w:t xml:space="preserve">  author_portrait.md            研究阶段分析与作者画像</w:t>
        <w:br/>
        <w:t xml:space="preserve">  researcher_portrait_report.md 汇总报告</w:t>
        <w:br/>
        <w:t xml:space="preserve">  researcher_portrait_report.pdf 最终 PDF</w:t>
      </w:r>
    </w:p>
    <w:p>
      <w:pPr>
        <w:pStyle w:val="Heading2"/>
        <w:spacing w:before="280" w:after="120" w:line="264" w:lineRule="auto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最终交付前检查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纳入论文中没有 needs_conversion 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不存在无效卡片，且卡片哈希与源文件一致。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重复版本和排除理由已记录。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画像中的判断能回到论文 ID，解释性判断已标注。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最终 Markdown 与 PDF 同时包含画像和全部论文卡片。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iragino Sans GB" w:hAnsi="Hiragino Sans GB" w:eastAsia="Hiragino Sans GB" w:cs="Hiragino Sans GB"/>
          <w:color w:val="1E293B"/>
          <w:sz w:val="22"/>
        </w:rPr>
        <w:t>PDF 已完成视觉检查。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Hiragino Sans GB" w:hAnsi="Hiragino Sans GB" w:eastAsia="Hiragino Sans GB" w:cs="Hiragino Sans GB"/>
        <w:color w:val="667085"/>
        <w:sz w:val="17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Hiragino Sans GB" w:hAnsi="Hiragino Sans GB" w:eastAsia="Hiragino Sans GB" w:cs="Hiragino Sans GB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Hiragino Sans GB" w:hAnsi="Hiragino Sans GB" w:eastAsia="Hiragino Sans GB" w:cs="Hiragino Sans GB"/>
        <w:color w:val="667085"/>
        <w:sz w:val="17"/>
      </w:rPr>
      <w:t>学者论文画像 Agent  |  完整工作流程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学者论文画像 Agent：完整工作流程</dc:title>
  <dc:subject>从论文 PDF 到可追溯研究画像的工作流程说明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