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eastAsia="黑体"/>
          <w:b/>
          <w:sz w:val="28"/>
        </w:rPr>
        <w:t>东南大学毕业（设计）论文独创性声明</w:t>
      </w:r>
    </w:p>
    <w:p>
      <w:pPr>
        <w:spacing w:lineRule="auto" w:line="360"/>
        <w:ind w:firstLine="480"/>
        <w:jc w:val="both"/>
      </w:pPr>
      <w:r>
        <w:rPr>
          <w:rFonts w:ascii="Times New Roman" w:hAnsi="Times New Roman" w:eastAsia="宋体"/>
          <w:sz w:val="24"/>
        </w:rPr>
        <w:t>本人声明所呈交的毕业（设计）论文是我个人在导师指导下进行的研究工作及取得的研究成果。尽我所知，除了文中特别加以标注和致谢的地方外，论文中不包含其他人已经发表或撰写过的研究成果，也不包含为获得东南大学或其他教育机构的学位或证书而使用过的材料。与我一同工作的同志对本研究所做的任何贡献均已在论文中作了明确的说明并表示了谢意。</w:t>
      </w:r>
    </w:p>
    <w:p>
      <w:pPr>
        <w:spacing w:lineRule="auto" w:line="360" w:before="480"/>
        <w:jc w:val="left"/>
      </w:pPr>
      <w:r>
        <w:rPr>
          <w:rFonts w:ascii="Times New Roman" w:hAnsi="Times New Roman" w:eastAsia="宋体"/>
          <w:sz w:val="24"/>
        </w:rPr>
        <w:t>论文作者签名：                   日期：       年     月     日</w:t>
      </w:r>
    </w:p>
    <w:p>
      <w:r>
        <w:br w:type="page"/>
      </w:r>
    </w:p>
    <w:p>
      <w:pPr>
        <w:spacing w:before="480" w:after="240"/>
        <w:jc w:val="center"/>
      </w:pPr>
      <w:r>
        <w:rPr>
          <w:rFonts w:ascii="Times New Roman" w:hAnsi="Times New Roman" w:eastAsia="黑体"/>
          <w:b/>
          <w:sz w:val="28"/>
        </w:rPr>
        <w:t>东南大学毕业（设计）论文使用授权声明</w:t>
      </w:r>
    </w:p>
    <w:p>
      <w:pPr>
        <w:spacing w:lineRule="auto" w:line="360"/>
        <w:ind w:firstLine="480"/>
        <w:jc w:val="both"/>
      </w:pPr>
      <w:r>
        <w:rPr>
          <w:rFonts w:ascii="Times New Roman" w:hAnsi="Times New Roman" w:eastAsia="宋体"/>
          <w:sz w:val="24"/>
        </w:rPr>
        <w:t>东南大学有权保留本人所送交毕业（设计）论文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东南大学教务处办理。</w:t>
      </w:r>
    </w:p>
    <w:p>
      <w:pPr>
        <w:spacing w:lineRule="auto" w:line="360" w:before="480"/>
        <w:jc w:val="left"/>
      </w:pPr>
      <w:r>
        <w:rPr>
          <w:rFonts w:ascii="Times New Roman" w:hAnsi="Times New Roman" w:eastAsia="宋体"/>
          <w:sz w:val="24"/>
        </w:rPr>
        <w:t xml:space="preserve">论文作者签名：                       导师签名：                        </w:t>
        <w:br/>
        <w:t>日期：       年      月      日      日期：     年      月      日</w:t>
      </w:r>
    </w:p>
    <w:p>
      <w:r>
        <w:br w:type="page"/>
      </w:r>
    </w:p>
    <w:p>
      <w:pPr>
        <w:spacing w:before="240" w:after="120"/>
        <w:jc w:val="center"/>
      </w:pPr>
      <w:r>
        <w:rPr>
          <w:rFonts w:ascii="Times New Roman" w:hAnsi="Times New Roman" w:eastAsia="黑体"/>
          <w:b/>
          <w:sz w:val="32"/>
        </w:rPr>
        <w:t>融合基础模型与集成学习的单核苷酸变异致病性预测平台</w:t>
      </w:r>
    </w:p>
    <w:p>
      <w:pPr>
        <w:spacing w:before="240" w:after="120"/>
        <w:jc w:val="center"/>
      </w:pPr>
      <w:r>
        <w:rPr>
          <w:rFonts w:ascii="Times New Roman" w:hAnsi="Times New Roman" w:eastAsia="黑体"/>
          <w:b/>
          <w:sz w:val="28"/>
        </w:rPr>
        <w:t>摘  要</w:t>
      </w:r>
    </w:p>
    <w:p>
      <w:pPr>
        <w:spacing w:lineRule="auto" w:line="360"/>
        <w:ind w:firstLine="480"/>
        <w:jc w:val="both"/>
      </w:pPr>
      <w:r>
        <w:rPr>
          <w:rFonts w:ascii="Times New Roman" w:hAnsi="Times New Roman" w:eastAsia="宋体"/>
          <w:sz w:val="24"/>
        </w:rPr>
        <w:t>单核苷酸变异（SNV）致病性预测是临床遗传学诊断的核心任务，现有计算工具各有侧重且缺乏概率校准，难以满足临床精准决策需求。本文提出SNV-judge平台，融合基因组基础模型与集成学习，实现高精度、可解释的SNV致病性预测。</w:t>
      </w:r>
    </w:p>
    <w:p>
      <w:pPr>
        <w:spacing w:lineRule="auto" w:line="360"/>
        <w:ind w:firstLine="480"/>
        <w:jc w:val="both"/>
      </w:pPr>
      <w:r>
        <w:rPr>
          <w:rFonts w:ascii="Times New Roman" w:hAnsi="Times New Roman" w:eastAsia="宋体"/>
          <w:sz w:val="24"/>
        </w:rPr>
        <w:t>本文以ClinVar数据库中BRCA1/2基因的842条高质量标注变异为数据集，整合SIFT、PolyPhen-2、AlphaMissense、CADD、REVEL等经典工具特征，并通过Genos-10B基因组基础模型API批量获取变异致病性评分，通过Ensembl VEP REST API获取phyloP进化保守性评分和gnomAD人群频率，构建8维特征矩阵。采用XGBoost和LightGBM双模型集成、5折Out-of-Fold训练策略和Platt Scaling概率校准，在5折交叉验证上取得AUROC=0.9797（95%CI [0.9674, 0.9896]）、AUPRC=0.9644、F1=0.9233、Brier=0.0439、ECE=0.0257的综合性能，相比最强基线AlphaMissense（AUROC=0.9738）提升0.0059。消融实验表明AlphaMissense（ΔAUROC=+0.0102）和CADD Phred（ΔAUROC=+0.0057）贡献最大。</w:t>
      </w:r>
    </w:p>
    <w:p>
      <w:pPr>
        <w:spacing w:lineRule="auto" w:line="360"/>
        <w:ind w:firstLine="480"/>
        <w:jc w:val="both"/>
      </w:pPr>
      <w:r>
        <w:rPr>
          <w:rFonts w:ascii="Times New Roman" w:hAnsi="Times New Roman" w:eastAsia="宋体"/>
          <w:sz w:val="24"/>
        </w:rPr>
        <w:t>在此基础上，本文开发了Plan C智能体模块，基于Kimi大语言模型设计Chain-of-Thought ACMG证据推理框架，将8条ACMG证据映射规则与SHAP特征贡献整合为结构化提示，自动生成六部分临床解读报告。在TP53致病变异（P=93.9%）和BRCA2良性变异（P=3.9%）两个案例上的验证结果与ClinVar标注完全一致，证明了平台的有效性。</w:t>
      </w:r>
    </w:p>
    <w:p>
      <w:pPr>
        <w:spacing w:lineRule="auto" w:line="360"/>
        <w:ind w:firstLine="480"/>
        <w:jc w:val="both"/>
      </w:pPr>
      <w:r>
        <w:rPr>
          <w:rFonts w:ascii="Times New Roman" w:hAnsi="Times New Roman" w:eastAsia="宋体"/>
          <w:sz w:val="24"/>
        </w:rPr>
        <w:t>本研究为临床遗传学实验室提供了一种融合多源证据、具备概率校准和可解释性的SNV致病性预测解决方案，具有重要的临床应用价值。</w:t>
      </w:r>
    </w:p>
    <w:p>
      <w:pPr>
        <w:spacing w:lineRule="auto" w:line="360" w:before="120"/>
        <w:jc w:val="left"/>
      </w:pPr>
      <w:r>
        <w:rPr>
          <w:rFonts w:ascii="Times New Roman" w:hAnsi="Times New Roman" w:eastAsia="宋体"/>
          <w:b/>
          <w:sz w:val="24"/>
        </w:rPr>
        <w:t>关键词：单核苷酸变异；致病性预测；集成学习；基因组基础模型；ACMG证据推理</w:t>
      </w:r>
    </w:p>
    <w:p>
      <w:r>
        <w:br w:type="page"/>
      </w:r>
    </w:p>
    <w:p>
      <w:pPr>
        <w:spacing w:before="240" w:after="120"/>
        <w:jc w:val="center"/>
      </w:pPr>
      <w:r>
        <w:rPr>
          <w:rFonts w:ascii="Times New Roman" w:hAnsi="Times New Roman" w:eastAsia="黑体"/>
          <w:b/>
          <w:sz w:val="28"/>
        </w:rPr>
        <w:t>SNV-judge: A Platform for Single Nucleotide Variant Pathogenicity Prediction</w:t>
        <w:br/>
        <w:t>Integrating Genomic Foundation Models and Ensemble Learning</w:t>
      </w:r>
    </w:p>
    <w:p>
      <w:pPr>
        <w:spacing w:before="240" w:after="120"/>
        <w:jc w:val="center"/>
      </w:pPr>
      <w:r>
        <w:rPr>
          <w:rFonts w:ascii="Times New Roman" w:hAnsi="Times New Roman" w:eastAsia="黑体"/>
          <w:b/>
          <w:sz w:val="28"/>
        </w:rPr>
        <w:t>Abstract</w:t>
      </w:r>
    </w:p>
    <w:p>
      <w:pPr>
        <w:spacing w:lineRule="auto" w:line="360"/>
        <w:ind w:firstLine="480"/>
        <w:jc w:val="both"/>
      </w:pPr>
      <w:r>
        <w:rPr>
          <w:rFonts w:ascii="Times New Roman" w:hAnsi="Times New Roman" w:eastAsia="宋体"/>
          <w:sz w:val="24"/>
        </w:rPr>
        <w:t>Pathogenicity prediction of single nucleotide variants (SNVs) is a core task in clinical genetics diagnosis. Existing computational tools are limited by their individual biases and lack of probability calibration, making them insufficient for precise clinical decision-making. This paper presents SNV-judge, a platform that integrates genomic foundation models with ensemble learning to achieve high-accuracy and interpretable SNV pathogenicity prediction.</w:t>
      </w:r>
    </w:p>
    <w:p>
      <w:pPr>
        <w:spacing w:lineRule="auto" w:line="360"/>
        <w:ind w:firstLine="480"/>
        <w:jc w:val="both"/>
      </w:pPr>
      <w:r>
        <w:rPr>
          <w:rFonts w:ascii="Times New Roman" w:hAnsi="Times New Roman" w:eastAsia="宋体"/>
          <w:sz w:val="24"/>
        </w:rPr>
        <w:t>Using 842 high-quality annotated variants from BRCA1/2 genes in the ClinVar database, SNV-judge constructs an 8-dimensional feature matrix by integrating classical tool scores (SIFT, PolyPhen-2, AlphaMissense, CADD, REVEL), Genos-10B genomic foundation model pathogenicity scores obtained via batch API calls, phyloP evolutionary conservation scores, and gnomAD population allele frequencies retrieved through the Ensembl VEP REST API. An ensemble of XGBoost and LightGBM with 5-fold Out-of-Fold training and Platt Scaling calibration achieves AUROC=0.9797 (95% CI [0.9674, 0.9896]), AUPRC=0.9644, F1=0.9233, Brier=0.0439, and ECE=0.0257, outperforming the strongest baseline AlphaMissense (AUROC=0.9738) by 0.0059. Ablation experiments demonstrate that AlphaMissense (ΔAUROC=+0.0102) and CADD Phred (ΔAUROC=+0.0057) contribute most to model performance.</w:t>
      </w:r>
    </w:p>
    <w:p>
      <w:pPr>
        <w:spacing w:lineRule="auto" w:line="360"/>
        <w:ind w:firstLine="480"/>
        <w:jc w:val="both"/>
      </w:pPr>
      <w:r>
        <w:rPr>
          <w:rFonts w:ascii="Times New Roman" w:hAnsi="Times New Roman" w:eastAsia="宋体"/>
          <w:sz w:val="24"/>
        </w:rPr>
        <w:t>Furthermore, a Plan C agent module is developed based on the Kimi large language model, implementing a Chain-of-Thought ACMG evidence reasoning framework. Eight ACMG evidence mapping rules are integrated with SHAP feature contributions into structured prompts to automatically generate six-section clinical interpretation reports. Validation on a TP53 pathogenic variant (P=93.9%) and a BRCA2 likely benign variant (P=3.9%) produces classifications consistent with ClinVar annotations, demonstrating the effectiveness of the platform.</w:t>
      </w:r>
    </w:p>
    <w:p>
      <w:pPr>
        <w:spacing w:lineRule="auto" w:line="360"/>
        <w:ind w:firstLine="480"/>
        <w:jc w:val="both"/>
      </w:pPr>
      <w:r>
        <w:rPr>
          <w:rFonts w:ascii="Times New Roman" w:hAnsi="Times New Roman" w:eastAsia="宋体"/>
          <w:sz w:val="24"/>
        </w:rPr>
        <w:t>This work provides a multi-evidence, probability-calibrated, and interpretable solution for SNV pathogenicity prediction in clinical genetics laboratories.</w:t>
      </w:r>
    </w:p>
    <w:p>
      <w:pPr>
        <w:spacing w:lineRule="auto" w:line="360" w:before="120"/>
        <w:jc w:val="left"/>
      </w:pPr>
      <w:r>
        <w:rPr>
          <w:rFonts w:ascii="Times New Roman" w:hAnsi="Times New Roman" w:eastAsia="宋体"/>
          <w:b/>
          <w:sz w:val="24"/>
        </w:rPr>
        <w:t>Keywords: Single nucleotide variant; Pathogenicity prediction; Ensemble learning; Genomic foundation model; ACMG evidence reasoning</w:t>
      </w:r>
    </w:p>
    <w:p>
      <w:r>
        <w:br w:type="page"/>
      </w:r>
    </w:p>
    <w:p>
      <w:pPr>
        <w:spacing w:before="240" w:after="240"/>
        <w:jc w:val="center"/>
      </w:pPr>
      <w:r>
        <w:rPr>
          <w:rFonts w:ascii="Times New Roman" w:hAnsi="Times New Roman" w:eastAsia="黑体"/>
          <w:b/>
          <w:sz w:val="28"/>
        </w:rPr>
        <w:t>目  录</w:t>
      </w:r>
    </w:p>
    <w:p>
      <w:pPr>
        <w:tabs>
          <w:tab w:pos="7937" w:val="right"/>
        </w:tabs>
        <w:spacing w:lineRule="auto" w:line="360" w:before="0" w:after="0"/>
        <w:jc w:val="left"/>
      </w:pPr>
      <w:r>
        <w:rPr>
          <w:rFonts w:ascii="Times New Roman" w:hAnsi="Times New Roman" w:eastAsia="宋体"/>
          <w:sz w:val="24"/>
        </w:rPr>
        <w:t>第一章  绪论</w:t>
        <w:tab/>
        <w:t>1</w:t>
      </w:r>
    </w:p>
    <w:p>
      <w:pPr>
        <w:tabs>
          <w:tab w:pos="7937" w:val="right"/>
        </w:tabs>
        <w:spacing w:lineRule="auto" w:line="360" w:before="0" w:after="0"/>
        <w:jc w:val="left"/>
      </w:pPr>
      <w:r>
        <w:rPr>
          <w:rFonts w:ascii="Times New Roman" w:hAnsi="Times New Roman" w:eastAsia="宋体"/>
          <w:sz w:val="24"/>
        </w:rPr>
        <w:t xml:space="preserve">    1.1  研究背景与意义</w:t>
        <w:tab/>
        <w:t>1</w:t>
      </w:r>
    </w:p>
    <w:p>
      <w:pPr>
        <w:tabs>
          <w:tab w:pos="7937" w:val="right"/>
        </w:tabs>
        <w:spacing w:lineRule="auto" w:line="360" w:before="0" w:after="0"/>
        <w:jc w:val="left"/>
      </w:pPr>
      <w:r>
        <w:rPr>
          <w:rFonts w:ascii="Times New Roman" w:hAnsi="Times New Roman" w:eastAsia="宋体"/>
          <w:sz w:val="24"/>
        </w:rPr>
        <w:t xml:space="preserve">    1.2  国内外研究现状</w:t>
        <w:tab/>
        <w:t>3</w:t>
      </w:r>
    </w:p>
    <w:p>
      <w:pPr>
        <w:tabs>
          <w:tab w:pos="7937" w:val="right"/>
        </w:tabs>
        <w:spacing w:lineRule="auto" w:line="360" w:before="0" w:after="0"/>
        <w:jc w:val="left"/>
      </w:pPr>
      <w:r>
        <w:rPr>
          <w:rFonts w:ascii="Times New Roman" w:hAnsi="Times New Roman" w:eastAsia="宋体"/>
          <w:sz w:val="24"/>
        </w:rPr>
        <w:t xml:space="preserve">    1.3  本文研究内容与章节安排</w:t>
        <w:tab/>
        <w:t>7</w:t>
      </w:r>
    </w:p>
    <w:p>
      <w:pPr>
        <w:tabs>
          <w:tab w:pos="7937" w:val="right"/>
        </w:tabs>
        <w:spacing w:lineRule="auto" w:line="360" w:before="0" w:after="0"/>
        <w:jc w:val="left"/>
      </w:pPr>
      <w:r>
        <w:rPr>
          <w:rFonts w:ascii="Times New Roman" w:hAnsi="Times New Roman" w:eastAsia="宋体"/>
          <w:sz w:val="24"/>
        </w:rPr>
        <w:t>第二章  相关技术与方法</w:t>
        <w:tab/>
        <w:t>9</w:t>
      </w:r>
    </w:p>
    <w:p>
      <w:pPr>
        <w:tabs>
          <w:tab w:pos="7937" w:val="right"/>
        </w:tabs>
        <w:spacing w:lineRule="auto" w:line="360" w:before="0" w:after="0"/>
        <w:jc w:val="left"/>
      </w:pPr>
      <w:r>
        <w:rPr>
          <w:rFonts w:ascii="Times New Roman" w:hAnsi="Times New Roman" w:eastAsia="宋体"/>
          <w:sz w:val="24"/>
        </w:rPr>
        <w:t xml:space="preserve">    2.1  SNV致病性预测基础</w:t>
        <w:tab/>
        <w:t>9</w:t>
      </w:r>
    </w:p>
    <w:p>
      <w:pPr>
        <w:tabs>
          <w:tab w:pos="7937" w:val="right"/>
        </w:tabs>
        <w:spacing w:lineRule="auto" w:line="360" w:before="0" w:after="0"/>
        <w:jc w:val="left"/>
      </w:pPr>
      <w:r>
        <w:rPr>
          <w:rFonts w:ascii="Times New Roman" w:hAnsi="Times New Roman" w:eastAsia="宋体"/>
          <w:sz w:val="24"/>
        </w:rPr>
        <w:t xml:space="preserve">    2.2  集成学习方法</w:t>
        <w:tab/>
        <w:t>11</w:t>
      </w:r>
    </w:p>
    <w:p>
      <w:pPr>
        <w:tabs>
          <w:tab w:pos="7937" w:val="right"/>
        </w:tabs>
        <w:spacing w:lineRule="auto" w:line="360" w:before="0" w:after="0"/>
        <w:jc w:val="left"/>
      </w:pPr>
      <w:r>
        <w:rPr>
          <w:rFonts w:ascii="Times New Roman" w:hAnsi="Times New Roman" w:eastAsia="宋体"/>
          <w:sz w:val="24"/>
        </w:rPr>
        <w:t xml:space="preserve">    2.3  基因组基础模型</w:t>
        <w:tab/>
        <w:t>13</w:t>
      </w:r>
    </w:p>
    <w:p>
      <w:pPr>
        <w:tabs>
          <w:tab w:pos="7937" w:val="right"/>
        </w:tabs>
        <w:spacing w:lineRule="auto" w:line="360" w:before="0" w:after="0"/>
        <w:jc w:val="left"/>
      </w:pPr>
      <w:r>
        <w:rPr>
          <w:rFonts w:ascii="Times New Roman" w:hAnsi="Times New Roman" w:eastAsia="宋体"/>
          <w:sz w:val="24"/>
        </w:rPr>
        <w:t xml:space="preserve">    2.4  概率校准方法</w:t>
        <w:tab/>
        <w:t>14</w:t>
      </w:r>
    </w:p>
    <w:p>
      <w:pPr>
        <w:tabs>
          <w:tab w:pos="7937" w:val="right"/>
        </w:tabs>
        <w:spacing w:lineRule="auto" w:line="360" w:before="0" w:after="0"/>
        <w:jc w:val="left"/>
      </w:pPr>
      <w:r>
        <w:rPr>
          <w:rFonts w:ascii="Times New Roman" w:hAnsi="Times New Roman" w:eastAsia="宋体"/>
          <w:sz w:val="24"/>
        </w:rPr>
        <w:t xml:space="preserve">    2.5  大语言模型与Chain-of-Thought推理</w:t>
        <w:tab/>
        <w:t>16</w:t>
      </w:r>
    </w:p>
    <w:p>
      <w:pPr>
        <w:tabs>
          <w:tab w:pos="7937" w:val="right"/>
        </w:tabs>
        <w:spacing w:lineRule="auto" w:line="360" w:before="0" w:after="0"/>
        <w:jc w:val="left"/>
      </w:pPr>
      <w:r>
        <w:rPr>
          <w:rFonts w:ascii="Times New Roman" w:hAnsi="Times New Roman" w:eastAsia="宋体"/>
          <w:sz w:val="24"/>
        </w:rPr>
        <w:t>第三章  系统设计与实现</w:t>
        <w:tab/>
        <w:t>18</w:t>
      </w:r>
    </w:p>
    <w:p>
      <w:pPr>
        <w:tabs>
          <w:tab w:pos="7937" w:val="right"/>
        </w:tabs>
        <w:spacing w:lineRule="auto" w:line="360" w:before="0" w:after="0"/>
        <w:jc w:val="left"/>
      </w:pPr>
      <w:r>
        <w:rPr>
          <w:rFonts w:ascii="Times New Roman" w:hAnsi="Times New Roman" w:eastAsia="宋体"/>
          <w:sz w:val="24"/>
        </w:rPr>
        <w:t xml:space="preserve">    3.1  系统总体架构</w:t>
        <w:tab/>
        <w:t>18</w:t>
      </w:r>
    </w:p>
    <w:p>
      <w:pPr>
        <w:tabs>
          <w:tab w:pos="7937" w:val="right"/>
        </w:tabs>
        <w:spacing w:lineRule="auto" w:line="360" w:before="0" w:after="0"/>
        <w:jc w:val="left"/>
      </w:pPr>
      <w:r>
        <w:rPr>
          <w:rFonts w:ascii="Times New Roman" w:hAnsi="Times New Roman" w:eastAsia="宋体"/>
          <w:sz w:val="24"/>
        </w:rPr>
        <w:t xml:space="preserve">    3.2  数据集构建</w:t>
        <w:tab/>
        <w:t>19</w:t>
      </w:r>
    </w:p>
    <w:p>
      <w:pPr>
        <w:tabs>
          <w:tab w:pos="7937" w:val="right"/>
        </w:tabs>
        <w:spacing w:lineRule="auto" w:line="360" w:before="0" w:after="0"/>
        <w:jc w:val="left"/>
      </w:pPr>
      <w:r>
        <w:rPr>
          <w:rFonts w:ascii="Times New Roman" w:hAnsi="Times New Roman" w:eastAsia="宋体"/>
          <w:sz w:val="24"/>
        </w:rPr>
        <w:t xml:space="preserve">    3.3  特征工程</w:t>
        <w:tab/>
        <w:t>21</w:t>
      </w:r>
    </w:p>
    <w:p>
      <w:pPr>
        <w:tabs>
          <w:tab w:pos="7937" w:val="right"/>
        </w:tabs>
        <w:spacing w:lineRule="auto" w:line="360" w:before="0" w:after="0"/>
        <w:jc w:val="left"/>
      </w:pPr>
      <w:r>
        <w:rPr>
          <w:rFonts w:ascii="Times New Roman" w:hAnsi="Times New Roman" w:eastAsia="宋体"/>
          <w:sz w:val="24"/>
        </w:rPr>
        <w:t xml:space="preserve">    3.4  集成模型训练</w:t>
        <w:tab/>
        <w:t>23</w:t>
      </w:r>
    </w:p>
    <w:p>
      <w:pPr>
        <w:tabs>
          <w:tab w:pos="7937" w:val="right"/>
        </w:tabs>
        <w:spacing w:lineRule="auto" w:line="360" w:before="0" w:after="0"/>
        <w:jc w:val="left"/>
      </w:pPr>
      <w:r>
        <w:rPr>
          <w:rFonts w:ascii="Times New Roman" w:hAnsi="Times New Roman" w:eastAsia="宋体"/>
          <w:sz w:val="24"/>
        </w:rPr>
        <w:t xml:space="preserve">    3.5  概率校准模块</w:t>
        <w:tab/>
        <w:t>25</w:t>
      </w:r>
    </w:p>
    <w:p>
      <w:pPr>
        <w:tabs>
          <w:tab w:pos="7937" w:val="right"/>
        </w:tabs>
        <w:spacing w:lineRule="auto" w:line="360" w:before="0" w:after="0"/>
        <w:jc w:val="left"/>
      </w:pPr>
      <w:r>
        <w:rPr>
          <w:rFonts w:ascii="Times New Roman" w:hAnsi="Times New Roman" w:eastAsia="宋体"/>
          <w:sz w:val="24"/>
        </w:rPr>
        <w:t xml:space="preserve">    3.6  Plan C智能体模块</w:t>
        <w:tab/>
        <w:t>26</w:t>
      </w:r>
    </w:p>
    <w:p>
      <w:pPr>
        <w:tabs>
          <w:tab w:pos="7937" w:val="right"/>
        </w:tabs>
        <w:spacing w:lineRule="auto" w:line="360" w:before="0" w:after="0"/>
        <w:jc w:val="left"/>
      </w:pPr>
      <w:r>
        <w:rPr>
          <w:rFonts w:ascii="Times New Roman" w:hAnsi="Times New Roman" w:eastAsia="宋体"/>
          <w:sz w:val="24"/>
        </w:rPr>
        <w:t>第四章  实验结果与分析</w:t>
        <w:tab/>
        <w:t>30</w:t>
      </w:r>
    </w:p>
    <w:p>
      <w:pPr>
        <w:tabs>
          <w:tab w:pos="7937" w:val="right"/>
        </w:tabs>
        <w:spacing w:lineRule="auto" w:line="360" w:before="0" w:after="0"/>
        <w:jc w:val="left"/>
      </w:pPr>
      <w:r>
        <w:rPr>
          <w:rFonts w:ascii="Times New Roman" w:hAnsi="Times New Roman" w:eastAsia="宋体"/>
          <w:sz w:val="24"/>
        </w:rPr>
        <w:t xml:space="preserve">    4.1  实验设置</w:t>
        <w:tab/>
        <w:t>30</w:t>
      </w:r>
    </w:p>
    <w:p>
      <w:pPr>
        <w:tabs>
          <w:tab w:pos="7937" w:val="right"/>
        </w:tabs>
        <w:spacing w:lineRule="auto" w:line="360" w:before="0" w:after="0"/>
        <w:jc w:val="left"/>
      </w:pPr>
      <w:r>
        <w:rPr>
          <w:rFonts w:ascii="Times New Roman" w:hAnsi="Times New Roman" w:eastAsia="宋体"/>
          <w:sz w:val="24"/>
        </w:rPr>
        <w:t xml:space="preserve">    4.2  模型性能评估</w:t>
        <w:tab/>
        <w:t>31</w:t>
      </w:r>
    </w:p>
    <w:p>
      <w:pPr>
        <w:tabs>
          <w:tab w:pos="7937" w:val="right"/>
        </w:tabs>
        <w:spacing w:lineRule="auto" w:line="360" w:before="0" w:after="0"/>
        <w:jc w:val="left"/>
      </w:pPr>
      <w:r>
        <w:rPr>
          <w:rFonts w:ascii="Times New Roman" w:hAnsi="Times New Roman" w:eastAsia="宋体"/>
          <w:sz w:val="24"/>
        </w:rPr>
        <w:t xml:space="preserve">    4.3  消融实验分析</w:t>
        <w:tab/>
        <w:t>33</w:t>
      </w:r>
    </w:p>
    <w:p>
      <w:pPr>
        <w:tabs>
          <w:tab w:pos="7937" w:val="right"/>
        </w:tabs>
        <w:spacing w:lineRule="auto" w:line="360" w:before="0" w:after="0"/>
        <w:jc w:val="left"/>
      </w:pPr>
      <w:r>
        <w:rPr>
          <w:rFonts w:ascii="Times New Roman" w:hAnsi="Times New Roman" w:eastAsia="宋体"/>
          <w:sz w:val="24"/>
        </w:rPr>
        <w:t xml:space="preserve">    4.4  概率校准实验</w:t>
        <w:tab/>
        <w:t>36</w:t>
      </w:r>
    </w:p>
    <w:p>
      <w:pPr>
        <w:tabs>
          <w:tab w:pos="7937" w:val="right"/>
        </w:tabs>
        <w:spacing w:lineRule="auto" w:line="360" w:before="0" w:after="0"/>
        <w:jc w:val="left"/>
      </w:pPr>
      <w:r>
        <w:rPr>
          <w:rFonts w:ascii="Times New Roman" w:hAnsi="Times New Roman" w:eastAsia="宋体"/>
          <w:sz w:val="24"/>
        </w:rPr>
        <w:t xml:space="preserve">    4.5  Plan C案例分析</w:t>
        <w:tab/>
        <w:t>37</w:t>
      </w:r>
    </w:p>
    <w:p>
      <w:pPr>
        <w:tabs>
          <w:tab w:pos="7937" w:val="right"/>
        </w:tabs>
        <w:spacing w:lineRule="auto" w:line="360" w:before="0" w:after="0"/>
        <w:jc w:val="left"/>
      </w:pPr>
      <w:r>
        <w:rPr>
          <w:rFonts w:ascii="Times New Roman" w:hAnsi="Times New Roman" w:eastAsia="宋体"/>
          <w:sz w:val="24"/>
        </w:rPr>
        <w:t>第五章  总结与展望</w:t>
        <w:tab/>
        <w:t>41</w:t>
      </w:r>
    </w:p>
    <w:p>
      <w:pPr>
        <w:tabs>
          <w:tab w:pos="7937" w:val="right"/>
        </w:tabs>
        <w:spacing w:lineRule="auto" w:line="360" w:before="0" w:after="0"/>
        <w:jc w:val="left"/>
      </w:pPr>
      <w:r>
        <w:rPr>
          <w:rFonts w:ascii="Times New Roman" w:hAnsi="Times New Roman" w:eastAsia="宋体"/>
          <w:sz w:val="24"/>
        </w:rPr>
        <w:t xml:space="preserve">    5.1  工作总结</w:t>
        <w:tab/>
        <w:t>41</w:t>
      </w:r>
    </w:p>
    <w:p>
      <w:pPr>
        <w:tabs>
          <w:tab w:pos="7937" w:val="right"/>
        </w:tabs>
        <w:spacing w:lineRule="auto" w:line="360" w:before="0" w:after="0"/>
        <w:jc w:val="left"/>
      </w:pPr>
      <w:r>
        <w:rPr>
          <w:rFonts w:ascii="Times New Roman" w:hAnsi="Times New Roman" w:eastAsia="宋体"/>
          <w:sz w:val="24"/>
        </w:rPr>
        <w:t xml:space="preserve">    5.2  工作展望</w:t>
        <w:tab/>
        <w:t>43</w:t>
      </w:r>
    </w:p>
    <w:p>
      <w:pPr>
        <w:tabs>
          <w:tab w:pos="7937" w:val="right"/>
        </w:tabs>
        <w:spacing w:lineRule="auto" w:line="360" w:before="0" w:after="0"/>
        <w:jc w:val="left"/>
      </w:pPr>
      <w:r>
        <w:rPr>
          <w:rFonts w:ascii="Times New Roman" w:hAnsi="Times New Roman" w:eastAsia="宋体"/>
          <w:sz w:val="24"/>
        </w:rPr>
        <w:t>参考文献</w:t>
        <w:tab/>
        <w:t>45</w:t>
      </w:r>
    </w:p>
    <w:p>
      <w:pPr>
        <w:tabs>
          <w:tab w:pos="7937" w:val="right"/>
        </w:tabs>
        <w:spacing w:lineRule="auto" w:line="360" w:before="0" w:after="0"/>
        <w:jc w:val="left"/>
      </w:pPr>
      <w:r>
        <w:rPr>
          <w:rFonts w:ascii="Times New Roman" w:hAnsi="Times New Roman" w:eastAsia="宋体"/>
          <w:sz w:val="24"/>
        </w:rPr>
        <w:t>致谢</w:t>
        <w:tab/>
        <w:t>50</w:t>
      </w:r>
    </w:p>
    <w:p>
      <w:r>
        <w:br w:type="page"/>
      </w:r>
    </w:p>
    <w:p>
      <w:pPr>
        <w:spacing w:before="360" w:after="240" w:lineRule="auto" w:line="360"/>
        <w:jc w:val="center"/>
      </w:pPr>
      <w:r>
        <w:rPr>
          <w:rFonts w:ascii="Times New Roman" w:hAnsi="Times New Roman" w:eastAsia="黑体"/>
          <w:b/>
          <w:sz w:val="32"/>
        </w:rPr>
        <w:t>第一章  绪论</w:t>
      </w:r>
    </w:p>
    <w:p>
      <w:pPr>
        <w:spacing w:before="240" w:after="120" w:lineRule="auto" w:line="360"/>
        <w:jc w:val="left"/>
      </w:pPr>
      <w:r>
        <w:rPr>
          <w:rFonts w:ascii="Times New Roman" w:hAnsi="Times New Roman" w:eastAsia="黑体"/>
          <w:b/>
          <w:sz w:val="28"/>
        </w:rPr>
        <w:t>1.1  研究背景与意义</w:t>
      </w:r>
    </w:p>
    <w:p>
      <w:pPr>
        <w:spacing w:lineRule="auto" w:line="360" w:before="0" w:after="0"/>
        <w:ind w:firstLine="480"/>
        <w:jc w:val="both"/>
      </w:pPr>
      <w:r>
        <w:rPr>
          <w:rFonts w:ascii="Times New Roman" w:hAnsi="Times New Roman" w:eastAsia="宋体"/>
          <w:sz w:val="24"/>
        </w:rPr>
        <w:t>单核苷酸变异（Single Nucleotide Variant，SNV）是人类基因组中最常见的遗传变异形式，指基因组特定位置上单个碱基的替换。人类基因组中约存在400万至500万个SNV，其中绝大多数为中性多态性，但少数变异可通过影响蛋白质功能、基因表达调控或剪接位点而导致遗传疾病。准确区分致病性SNV与良性多态性，是临床遗传学诊断、遗传咨询和精准医疗的核心任务之一。</w:t>
      </w:r>
    </w:p>
    <w:p>
      <w:pPr>
        <w:spacing w:lineRule="auto" w:line="360" w:before="0" w:after="0"/>
        <w:ind w:firstLine="480"/>
        <w:jc w:val="both"/>
      </w:pPr>
      <w:r>
        <w:rPr>
          <w:rFonts w:ascii="Times New Roman" w:hAnsi="Times New Roman" w:eastAsia="宋体"/>
          <w:sz w:val="24"/>
        </w:rPr>
        <w:t>美国医学遗传学与基因组学学会（American College of Medical Genetics and Genomics，ACMG）于2015年发布了变异解读指南，将变异分为致病（Pathogenic）、可能致病（Likely Pathogenic）、意义不明（Variant of Uncertain Significance，VUS）、可能良性（Likely Benign）和良性（Benign）五个等级，并规定了28条证据标准。然而，该指南的人工解读过程耗时耗力，且不同解读者之间存在显著的主观差异。随着高通量测序技术的普及，临床实验室每年需要解读的变异数量呈指数级增长，人工解读已难以满足实际需求。</w:t>
      </w:r>
    </w:p>
    <w:p>
      <w:pPr>
        <w:spacing w:lineRule="auto" w:line="360" w:before="0" w:after="0"/>
        <w:ind w:firstLine="480"/>
        <w:jc w:val="both"/>
      </w:pPr>
      <w:r>
        <w:rPr>
          <w:rFonts w:ascii="Times New Roman" w:hAnsi="Times New Roman" w:eastAsia="宋体"/>
          <w:sz w:val="24"/>
        </w:rPr>
        <w:t>计算预测工具的出现为自动化变异解读提供了可能。SIFT、PolyPhen-2、CADD、REVEL等工具基于进化保守性、蛋白质结构或统计模型对变异的功能影响进行预测，在临床实践中得到广泛应用。近年来，AlphaMissense等深度学习方法利用蛋白质结构信息显著提升了预测精度。然而，这些工具各有侧重，单一工具的预测结果往往存在较大的假阳性或假阴性率，且缺乏概率校准，难以直接用于临床决策。</w:t>
      </w:r>
    </w:p>
    <w:p>
      <w:pPr>
        <w:spacing w:lineRule="auto" w:line="360" w:before="0" w:after="0"/>
        <w:ind w:firstLine="480"/>
        <w:jc w:val="both"/>
      </w:pPr>
      <w:r>
        <w:rPr>
          <w:rFonts w:ascii="Times New Roman" w:hAnsi="Times New Roman" w:eastAsia="宋体"/>
          <w:sz w:val="24"/>
        </w:rPr>
        <w:t>基因组基础模型（Genomic Foundation Model）是近年来兴起的新型人工智能方法，通过在大规模基因组序列上进行自监督预训练，学习基因组序列的深层语义表示。Genos-10B、Evo2等模型在变异效应预测、基因表达预测等任务上展现出优异性能，为整合序列级信息提供了新途径。与此同时，大语言模型（Large Language Model，LLM）在医学知识推理方面的能力日益增强，为实现自动化、可解释的临床变异解读报告生成提供了技术基础。</w:t>
      </w:r>
    </w:p>
    <w:p>
      <w:pPr>
        <w:spacing w:lineRule="auto" w:line="360" w:before="0" w:after="0"/>
        <w:ind w:firstLine="480"/>
        <w:jc w:val="both"/>
      </w:pPr>
      <w:r>
        <w:rPr>
          <w:rFonts w:ascii="Times New Roman" w:hAnsi="Times New Roman" w:eastAsia="宋体"/>
          <w:sz w:val="24"/>
        </w:rPr>
        <w:t>在上述背景下，本文提出SNV-judge平台，旨在融合经典计算工具特征、基因组基础模型评分与集成学习方法，构建高精度的SNV致病性预测模型，并结合大语言模型实现可解释的ACMG证据推理链，为临床遗传学诊断提供智能化辅助决策支持。</w:t>
      </w:r>
    </w:p>
    <w:p>
      <w:pPr>
        <w:spacing w:lineRule="auto" w:line="360" w:before="0" w:after="0"/>
        <w:ind w:firstLine="480"/>
        <w:jc w:val="both"/>
      </w:pPr>
      <w:r>
        <w:rPr>
          <w:rFonts w:ascii="Times New Roman" w:hAnsi="Times New Roman" w:eastAsia="宋体"/>
          <w:sz w:val="24"/>
        </w:rPr>
        <w:t>本研究的主要意义体现在以下三个方面：</w:t>
      </w:r>
    </w:p>
    <w:p>
      <w:pPr>
        <w:spacing w:lineRule="auto" w:line="360" w:before="0" w:after="0"/>
        <w:ind w:firstLine="480"/>
        <w:jc w:val="both"/>
      </w:pPr>
      <w:r>
        <w:rPr>
          <w:rFonts w:ascii="Times New Roman" w:hAnsi="Times New Roman" w:eastAsia="宋体"/>
          <w:sz w:val="24"/>
        </w:rPr>
        <w:t>（1）技术层面：提出了一种融合多源异构特征的集成学习框架，将经典序列保守性工具、深度学习预测工具与基因组基础模型评分有机整合，并通过概率校准使模型输出具有统计意义上的概率解释性。</w:t>
      </w:r>
    </w:p>
    <w:p>
      <w:pPr>
        <w:spacing w:lineRule="auto" w:line="360" w:before="0" w:after="0"/>
        <w:ind w:firstLine="480"/>
        <w:jc w:val="both"/>
      </w:pPr>
      <w:r>
        <w:rPr>
          <w:rFonts w:ascii="Times New Roman" w:hAnsi="Times New Roman" w:eastAsia="宋体"/>
          <w:sz w:val="24"/>
        </w:rPr>
        <w:t>（2）应用层面：开发了基于大语言模型的Chain-of-Thought ACMG证据推理模块（Plan C），能够自动生成结构化的临床变异解读报告，降低人工解读的工作量，提高解读的一致性和可追溯性。</w:t>
      </w:r>
    </w:p>
    <w:p>
      <w:pPr>
        <w:spacing w:lineRule="auto" w:line="360" w:before="0" w:after="0"/>
        <w:ind w:firstLine="480"/>
        <w:jc w:val="both"/>
      </w:pPr>
      <w:r>
        <w:rPr>
          <w:rFonts w:ascii="Times New Roman" w:hAnsi="Times New Roman" w:eastAsia="宋体"/>
          <w:sz w:val="24"/>
        </w:rPr>
        <w:t>（3）学术层面：系统评估了基因组基础模型特征在集成框架中的贡献，通过消融实验揭示了不同特征对预测性能的影响规律，为后续研究提供了参考。</w:t>
      </w:r>
    </w:p>
    <w:p>
      <w:pPr>
        <w:spacing w:before="240" w:after="120" w:lineRule="auto" w:line="360"/>
        <w:jc w:val="left"/>
      </w:pPr>
      <w:r>
        <w:rPr>
          <w:rFonts w:ascii="Times New Roman" w:hAnsi="Times New Roman" w:eastAsia="黑体"/>
          <w:b/>
          <w:sz w:val="28"/>
        </w:rPr>
        <w:t>1.2  国内外研究现状</w:t>
      </w:r>
    </w:p>
    <w:p>
      <w:pPr>
        <w:spacing w:before="120" w:after="60" w:lineRule="auto" w:line="360"/>
        <w:jc w:val="left"/>
      </w:pPr>
      <w:r>
        <w:rPr>
          <w:rFonts w:ascii="Times New Roman" w:hAnsi="Times New Roman" w:eastAsia="宋体"/>
          <w:b/>
          <w:sz w:val="24"/>
        </w:rPr>
        <w:t>1.2.1  基于序列保守性与统计模型的传统方法</w:t>
      </w:r>
    </w:p>
    <w:p>
      <w:pPr>
        <w:spacing w:lineRule="auto" w:line="360" w:before="0" w:after="0"/>
        <w:ind w:firstLine="480"/>
        <w:jc w:val="both"/>
      </w:pPr>
      <w:r>
        <w:rPr>
          <w:rFonts w:ascii="Times New Roman" w:hAnsi="Times New Roman" w:eastAsia="宋体"/>
          <w:sz w:val="24"/>
        </w:rPr>
        <w:t>早期的SNV致病性预测工具主要基于进化保守性假设，即在进化过程中高度保守的位点发生变异更可能具有功能影响。SIFT（Sorting Intolerant From Tolerant）通过分析同源蛋白质序列的多序列比对，计算特定位置上氨基酸替换的耐受概率，是最早被广泛应用的预测工具之一。PolyPhen-2（Polymorphism Phenotyping v2）在保守性分析的基础上，引入了蛋白质三维结构特征，通过朴素贝叶斯分类器预测氨基酸替换对蛋白质结构和功能的影响。</w:t>
      </w:r>
    </w:p>
    <w:p>
      <w:pPr>
        <w:spacing w:lineRule="auto" w:line="360" w:before="0" w:after="0"/>
        <w:ind w:firstLine="480"/>
        <w:jc w:val="both"/>
      </w:pPr>
      <w:r>
        <w:rPr>
          <w:rFonts w:ascii="Times New Roman" w:hAnsi="Times New Roman" w:eastAsia="宋体"/>
          <w:sz w:val="24"/>
        </w:rPr>
        <w:t>CADD（Combined Annotation Dependent Depletion）采用了不同的策略，通过比较人类基因组中固定的衍生等位基因（代表中性变异）与模拟的从头突变（代表潜在有害变异），训练支持向量机模型，生成整合多种注释特征的综合评分。CADD的Phred评分系统使不同类型变异的评分具有可比性，在临床实践中得到广泛应用。</w:t>
      </w:r>
    </w:p>
    <w:p>
      <w:pPr>
        <w:spacing w:lineRule="auto" w:line="360" w:before="0" w:after="0"/>
        <w:ind w:firstLine="480"/>
        <w:jc w:val="both"/>
      </w:pPr>
      <w:r>
        <w:rPr>
          <w:rFonts w:ascii="Times New Roman" w:hAnsi="Times New Roman" w:eastAsia="宋体"/>
          <w:sz w:val="24"/>
        </w:rPr>
        <w:t>REVEL（Rare Exome Variant Ensemble Learner）是一种集成方法，整合了SIFT、PolyPhen-2、MutationAssessor、FATHMM等13种工具的预测结果，通过随机森林模型生成综合评分，在罕见错义变异的致病性预测上表现优异。</w:t>
      </w:r>
    </w:p>
    <w:p>
      <w:pPr>
        <w:spacing w:before="120" w:after="60" w:lineRule="auto" w:line="360"/>
        <w:jc w:val="left"/>
      </w:pPr>
      <w:r>
        <w:rPr>
          <w:rFonts w:ascii="Times New Roman" w:hAnsi="Times New Roman" w:eastAsia="宋体"/>
          <w:b/>
          <w:sz w:val="24"/>
        </w:rPr>
        <w:t>1.2.2  基于深度学习的方法</w:t>
      </w:r>
    </w:p>
    <w:p>
      <w:pPr>
        <w:spacing w:lineRule="auto" w:line="360" w:before="0" w:after="0"/>
        <w:ind w:firstLine="480"/>
        <w:jc w:val="both"/>
      </w:pPr>
      <w:r>
        <w:rPr>
          <w:rFonts w:ascii="Times New Roman" w:hAnsi="Times New Roman" w:eastAsia="宋体"/>
          <w:sz w:val="24"/>
        </w:rPr>
        <w:t>随着深度学习技术的发展，基于神经网络的变异效应预测方法取得了显著进展。DeepSEA利用卷积神经网络从DNA序列直接预测染色质可及性、转录因子结合等表观遗传特征，并将这些特征用于变异功能效应预测。Enformer进一步扩展了序列上下文窗口至196,608 bp，通过Transformer架构预测基因表达量，在调控变异效应预测上取得了突破性进展。</w:t>
      </w:r>
    </w:p>
    <w:p>
      <w:pPr>
        <w:spacing w:lineRule="auto" w:line="360" w:before="0" w:after="0"/>
        <w:ind w:firstLine="480"/>
        <w:jc w:val="both"/>
      </w:pPr>
      <w:r>
        <w:rPr>
          <w:rFonts w:ascii="Times New Roman" w:hAnsi="Times New Roman" w:eastAsia="宋体"/>
          <w:sz w:val="24"/>
        </w:rPr>
        <w:t>AlphaMissense是近年来最具影响力的错义变异预测工具之一，由Google DeepMind开发。该方法基于AlphaFold2的蛋白质语言模型，通过微调使其专注于错义变异的致病性预测，在ClinVar基准数据集上的AUROC达到0.91，显著优于此前所有方法。AlphaMissense已对人类蛋白质编码基因中约7100万个可能的错义变异进行了预测，为临床变异解读提供了重要参考。</w:t>
      </w:r>
    </w:p>
    <w:p>
      <w:pPr>
        <w:spacing w:before="120" w:after="60" w:lineRule="auto" w:line="360"/>
        <w:jc w:val="left"/>
      </w:pPr>
      <w:r>
        <w:rPr>
          <w:rFonts w:ascii="Times New Roman" w:hAnsi="Times New Roman" w:eastAsia="宋体"/>
          <w:b/>
          <w:sz w:val="24"/>
        </w:rPr>
        <w:t>1.2.3  基因组基础模型</w:t>
      </w:r>
    </w:p>
    <w:p>
      <w:pPr>
        <w:spacing w:lineRule="auto" w:line="360" w:before="0" w:after="0"/>
        <w:ind w:firstLine="480"/>
        <w:jc w:val="both"/>
      </w:pPr>
      <w:r>
        <w:rPr>
          <w:rFonts w:ascii="Times New Roman" w:hAnsi="Times New Roman" w:eastAsia="宋体"/>
          <w:sz w:val="24"/>
        </w:rPr>
        <w:t>基因组基础模型是受自然语言处理领域大语言模型启发而发展起来的新型方法，通过在大规模基因组序列上进行自监督预训练，学习基因组序列的通用表示。Evo2由Arc Institute开发，基于StripedHyena 2架构，参数量达400亿，在跨越所有生命域的基因组序列上进行训练，支持最长100万碱基对的上下文窗口，可用于序列生成和变异效应预测。Genos-10B由华大智造开发，是以人类基因组为中心的基础模型，采用混合专家（Mixture of Experts，MoE）架构，参数量100亿，在数百个高质量人类基因组上进行训练，提供变异致病性预测、序列嵌入提取和RNA-seq覆盖预测等功能。</w:t>
      </w:r>
    </w:p>
    <w:p>
      <w:pPr>
        <w:spacing w:before="120" w:after="60" w:lineRule="auto" w:line="360"/>
        <w:jc w:val="left"/>
      </w:pPr>
      <w:r>
        <w:rPr>
          <w:rFonts w:ascii="Times New Roman" w:hAnsi="Times New Roman" w:eastAsia="宋体"/>
          <w:b/>
          <w:sz w:val="24"/>
        </w:rPr>
        <w:t>1.2.4  集成学习与概率校准</w:t>
      </w:r>
    </w:p>
    <w:p>
      <w:pPr>
        <w:spacing w:lineRule="auto" w:line="360" w:before="0" w:after="0"/>
        <w:ind w:firstLine="480"/>
        <w:jc w:val="both"/>
      </w:pPr>
      <w:r>
        <w:rPr>
          <w:rFonts w:ascii="Times New Roman" w:hAnsi="Times New Roman" w:eastAsia="宋体"/>
          <w:sz w:val="24"/>
        </w:rPr>
        <w:t>集成学习通过组合多个基学习器的预测结果来提升整体性能，在生物信息学领域得到广泛应用。XGBoost和LightGBM是目前最常用的梯度提升树算法，在结构化数据的分类任务上表现优异。REVEL、M-CAP等变异预测工具均采用了集成学习策略。</w:t>
      </w:r>
    </w:p>
    <w:p>
      <w:pPr>
        <w:spacing w:lineRule="auto" w:line="360" w:before="0" w:after="0"/>
        <w:ind w:firstLine="480"/>
        <w:jc w:val="both"/>
      </w:pPr>
      <w:r>
        <w:rPr>
          <w:rFonts w:ascii="Times New Roman" w:hAnsi="Times New Roman" w:eastAsia="宋体"/>
          <w:sz w:val="24"/>
        </w:rPr>
        <w:t>概率校准是机器学习模型实用化的重要环节，旨在使模型输出的概率值与实际的频率分布相符。Platt Scaling通过在模型输出上拟合逻辑回归模型实现校准，计算简单且在样本量有限时表现稳定。Isotonic Regression是一种非参数校准方法，理论上可以拟合任意单调函数，但在小样本情况下容易过拟合。</w:t>
      </w:r>
    </w:p>
    <w:p>
      <w:pPr>
        <w:spacing w:before="120" w:after="60" w:lineRule="auto" w:line="360"/>
        <w:jc w:val="left"/>
      </w:pPr>
      <w:r>
        <w:rPr>
          <w:rFonts w:ascii="Times New Roman" w:hAnsi="Times New Roman" w:eastAsia="宋体"/>
          <w:b/>
          <w:sz w:val="24"/>
        </w:rPr>
        <w:t>1.2.5  大语言模型在临床遗传学中的应用</w:t>
      </w:r>
    </w:p>
    <w:p>
      <w:pPr>
        <w:spacing w:lineRule="auto" w:line="360" w:before="0" w:after="0"/>
        <w:ind w:firstLine="480"/>
        <w:jc w:val="both"/>
      </w:pPr>
      <w:r>
        <w:rPr>
          <w:rFonts w:ascii="Times New Roman" w:hAnsi="Times New Roman" w:eastAsia="宋体"/>
          <w:sz w:val="24"/>
        </w:rPr>
        <w:t>大语言模型（LLM）在医学领域的应用近年来受到广泛关注。GPT-4、Claude等通用LLM在医学考试、临床问答等任务上展现出接近专家水平的能力。在遗传学领域，研究者探索了利用LLM辅助变异解读、生成遗传咨询报告等应用场景。然而，现有研究多依赖LLM的内部知识，缺乏与计算预测工具的深度整合，且存在幻觉（hallucination）风险。本文提出的Plan C模块通过结构化的Chain-of-Thought推理框架，将计算工具的定量证据与LLM的推理能力有机结合，有效降低了幻觉风险。</w:t>
      </w:r>
    </w:p>
    <w:p>
      <w:pPr>
        <w:spacing w:before="240" w:after="120" w:lineRule="auto" w:line="360"/>
        <w:jc w:val="left"/>
      </w:pPr>
      <w:r>
        <w:rPr>
          <w:rFonts w:ascii="Times New Roman" w:hAnsi="Times New Roman" w:eastAsia="黑体"/>
          <w:b/>
          <w:sz w:val="28"/>
        </w:rPr>
        <w:t>1.3  本文研究内容与章节安排</w:t>
      </w:r>
    </w:p>
    <w:p>
      <w:pPr>
        <w:spacing w:lineRule="auto" w:line="360" w:before="0" w:after="0"/>
        <w:ind w:firstLine="480"/>
        <w:jc w:val="both"/>
      </w:pPr>
      <w:r>
        <w:rPr>
          <w:rFonts w:ascii="Times New Roman" w:hAnsi="Times New Roman" w:eastAsia="宋体"/>
          <w:sz w:val="24"/>
        </w:rPr>
        <w:t>本文围绕SNV致病性预测这一核心问题，提出并实现了SNV-judge平台，主要研究内容如下：</w:t>
      </w:r>
    </w:p>
    <w:p>
      <w:pPr>
        <w:spacing w:lineRule="auto" w:line="360" w:before="0" w:after="0"/>
        <w:ind w:firstLine="480"/>
        <w:jc w:val="both"/>
      </w:pPr>
      <w:r>
        <w:rPr>
          <w:rFonts w:ascii="Times New Roman" w:hAnsi="Times New Roman" w:eastAsia="宋体"/>
          <w:sz w:val="24"/>
        </w:rPr>
        <w:t>（1）多源特征整合与数据集构建：以ClinVar数据库中BRCA1和BRCA2基因的高质量标注变异为基准数据集，整合SIFT、PolyPhen-2、AlphaMissense、CADD、REVEL等经典工具特征，并通过Genos-10B API批量获取基因组基础模型评分，通过Ensembl VEP REST API获取gnomAD人群频率和phyloP进化保守性评分，构建包含8个维度特征的完整特征矩阵。</w:t>
      </w:r>
    </w:p>
    <w:p>
      <w:pPr>
        <w:spacing w:lineRule="auto" w:line="360" w:before="0" w:after="0"/>
        <w:ind w:firstLine="480"/>
        <w:jc w:val="both"/>
      </w:pPr>
      <w:r>
        <w:rPr>
          <w:rFonts w:ascii="Times New Roman" w:hAnsi="Times New Roman" w:eastAsia="宋体"/>
          <w:sz w:val="24"/>
        </w:rPr>
        <w:t>（2）集成学习模型设计与训练：设计基于XGBoost和LightGBM的集成学习框架，采用5折交叉验证的Out-of-Fold（OOF）策略进行训练，通过Platt Scaling进行概率校准，并通过消融实验系统评估各特征的贡献。</w:t>
      </w:r>
    </w:p>
    <w:p>
      <w:pPr>
        <w:spacing w:lineRule="auto" w:line="360" w:before="0" w:after="0"/>
        <w:ind w:firstLine="480"/>
        <w:jc w:val="both"/>
      </w:pPr>
      <w:r>
        <w:rPr>
          <w:rFonts w:ascii="Times New Roman" w:hAnsi="Times New Roman" w:eastAsia="宋体"/>
          <w:sz w:val="24"/>
        </w:rPr>
        <w:t>（3）概率校准模块：对比未校准、Platt Scaling和Isotonic Regression三种校准方法在5折交叉验证上的稳定性，选择最优校准方案，使模型输出具有统计意义上的概率解释性。</w:t>
      </w:r>
    </w:p>
    <w:p>
      <w:pPr>
        <w:spacing w:lineRule="auto" w:line="360" w:before="0" w:after="0"/>
        <w:ind w:firstLine="480"/>
        <w:jc w:val="both"/>
      </w:pPr>
      <w:r>
        <w:rPr>
          <w:rFonts w:ascii="Times New Roman" w:hAnsi="Times New Roman" w:eastAsia="宋体"/>
          <w:sz w:val="24"/>
        </w:rPr>
        <w:t>（4）Plan C智能体模块：基于Kimi大语言模型API，设计Chain-of-Thought ACMG证据推理框架，实现从变异特征到结构化临床解读报告的自动化生成，并通过两个真实变异案例验证模块的有效性。</w:t>
      </w:r>
    </w:p>
    <w:p>
      <w:pPr>
        <w:spacing w:lineRule="auto" w:line="360" w:before="0" w:after="0"/>
        <w:ind w:firstLine="480"/>
        <w:jc w:val="both"/>
      </w:pPr>
      <w:r>
        <w:rPr>
          <w:rFonts w:ascii="Times New Roman" w:hAnsi="Times New Roman" w:eastAsia="宋体"/>
          <w:sz w:val="24"/>
        </w:rPr>
        <w:t>本文各章节安排如下：第一章为绪论，介绍研究背景与意义、国内外研究现状以及本文研究内容与章节安排。第二章为相关技术与方法，介绍SNV致病性预测基础知识、集成学习方法、基因组基础模型、概率校准方法和大语言模型推理等核心技术。第三章为系统设计与实现，详细描述SNV-judge平台的总体架构、数据集构建、特征工程、集成模型训练、概率校准模块和Plan C智能体模块的设计与实现。第四章为实验结果与分析，报告模型性能评估结果、消融实验分析、概率校准实验结果和Plan C案例分析。第五章为总结与展望，总结本文的主要工作和创新点，并对未来研究方向进行展望。</w:t>
      </w:r>
    </w:p>
    <w:p>
      <w:r>
        <w:br w:type="page"/>
      </w:r>
    </w:p>
    <w:p>
      <w:pPr>
        <w:spacing w:before="360" w:after="240" w:lineRule="auto" w:line="360"/>
        <w:jc w:val="center"/>
      </w:pPr>
      <w:r>
        <w:rPr>
          <w:rFonts w:ascii="Times New Roman" w:hAnsi="Times New Roman" w:eastAsia="黑体"/>
          <w:b/>
          <w:sz w:val="32"/>
        </w:rPr>
        <w:t>第二章  相关技术与方法</w:t>
      </w:r>
    </w:p>
    <w:p>
      <w:pPr>
        <w:spacing w:before="240" w:after="120" w:lineRule="auto" w:line="360"/>
        <w:jc w:val="left"/>
      </w:pPr>
      <w:r>
        <w:rPr>
          <w:rFonts w:ascii="Times New Roman" w:hAnsi="Times New Roman" w:eastAsia="黑体"/>
          <w:b/>
          <w:sz w:val="28"/>
        </w:rPr>
        <w:t>2.1  SNV致病性预测基础</w:t>
      </w:r>
    </w:p>
    <w:p>
      <w:pPr>
        <w:spacing w:before="120" w:after="60" w:lineRule="auto" w:line="360"/>
        <w:jc w:val="left"/>
      </w:pPr>
      <w:r>
        <w:rPr>
          <w:rFonts w:ascii="Times New Roman" w:hAnsi="Times New Roman" w:eastAsia="宋体"/>
          <w:b/>
          <w:sz w:val="24"/>
        </w:rPr>
        <w:t>2.1.1  单核苷酸变异的分类与临床意义</w:t>
      </w:r>
    </w:p>
    <w:p>
      <w:pPr>
        <w:spacing w:lineRule="auto" w:line="360" w:before="0" w:after="0"/>
        <w:ind w:firstLine="480"/>
        <w:jc w:val="both"/>
      </w:pPr>
      <w:r>
        <w:rPr>
          <w:rFonts w:ascii="Times New Roman" w:hAnsi="Times New Roman" w:eastAsia="宋体"/>
          <w:sz w:val="24"/>
        </w:rPr>
        <w:t>单核苷酸变异（SNV）是指基因组特定位置上单个碱基的替换，是人类基因组中最常见的遗传变异类型。根据变异对蛋白质编码序列的影响，SNV可分为以下几类：</w:t>
      </w:r>
    </w:p>
    <w:p>
      <w:pPr>
        <w:spacing w:lineRule="auto" w:line="360" w:before="0" w:after="0"/>
        <w:ind w:firstLine="480"/>
        <w:jc w:val="both"/>
      </w:pPr>
      <w:r>
        <w:rPr>
          <w:rFonts w:ascii="Times New Roman" w:hAnsi="Times New Roman" w:eastAsia="宋体"/>
          <w:sz w:val="24"/>
        </w:rPr>
        <w:t>（1）错义变异（Missense Variant）：导致氨基酸序列改变的编码区变异，是临床遗传学中最常见也最难解读的变异类型。</w:t>
      </w:r>
    </w:p>
    <w:p>
      <w:pPr>
        <w:spacing w:lineRule="auto" w:line="360" w:before="0" w:after="0"/>
        <w:ind w:firstLine="480"/>
        <w:jc w:val="both"/>
      </w:pPr>
      <w:r>
        <w:rPr>
          <w:rFonts w:ascii="Times New Roman" w:hAnsi="Times New Roman" w:eastAsia="宋体"/>
          <w:sz w:val="24"/>
        </w:rPr>
        <w:t>（2）无义变异（Nonsense Variant）：导致终止密码子提前出现，通常引起蛋白质截短，多为致病性变异。</w:t>
      </w:r>
    </w:p>
    <w:p>
      <w:pPr>
        <w:spacing w:lineRule="auto" w:line="360" w:before="0" w:after="0"/>
        <w:ind w:firstLine="480"/>
        <w:jc w:val="both"/>
      </w:pPr>
      <w:r>
        <w:rPr>
          <w:rFonts w:ascii="Times New Roman" w:hAnsi="Times New Roman" w:eastAsia="宋体"/>
          <w:sz w:val="24"/>
        </w:rPr>
        <w:t>（3）同义变异（Synonymous Variant）：不改变氨基酸序列的编码区变异，传统上认为功能中性，但部分同义变异可影响剪接或翻译效率。</w:t>
      </w:r>
    </w:p>
    <w:p>
      <w:pPr>
        <w:spacing w:lineRule="auto" w:line="360" w:before="0" w:after="0"/>
        <w:ind w:firstLine="480"/>
        <w:jc w:val="both"/>
      </w:pPr>
      <w:r>
        <w:rPr>
          <w:rFonts w:ascii="Times New Roman" w:hAnsi="Times New Roman" w:eastAsia="宋体"/>
          <w:sz w:val="24"/>
        </w:rPr>
        <w:t>（4）剪接位点变异（Splice Site Variant）：位于内含子-外显子边界的变异，可影响前体mRNA的剪接，导致外显子跳跃或内含子保留。</w:t>
      </w:r>
    </w:p>
    <w:p>
      <w:pPr>
        <w:spacing w:lineRule="auto" w:line="360" w:before="0" w:after="0"/>
        <w:ind w:firstLine="480"/>
        <w:jc w:val="both"/>
      </w:pPr>
      <w:r>
        <w:rPr>
          <w:rFonts w:ascii="Times New Roman" w:hAnsi="Times New Roman" w:eastAsia="宋体"/>
          <w:sz w:val="24"/>
        </w:rPr>
        <w:t>（5）非编码区变异：位于启动子、增强子、UTR等调控区域的变异，可影响基因表达水平。</w:t>
      </w:r>
    </w:p>
    <w:p>
      <w:pPr>
        <w:spacing w:before="120" w:after="60" w:lineRule="auto" w:line="360"/>
        <w:jc w:val="left"/>
      </w:pPr>
      <w:r>
        <w:rPr>
          <w:rFonts w:ascii="Times New Roman" w:hAnsi="Times New Roman" w:eastAsia="宋体"/>
          <w:b/>
          <w:sz w:val="24"/>
        </w:rPr>
        <w:t>2.1.2  ACMG/AMP变异解读标准</w:t>
      </w:r>
    </w:p>
    <w:p>
      <w:pPr>
        <w:spacing w:lineRule="auto" w:line="360" w:before="0" w:after="0"/>
        <w:ind w:firstLine="480"/>
        <w:jc w:val="both"/>
      </w:pPr>
      <w:r>
        <w:rPr>
          <w:rFonts w:ascii="Times New Roman" w:hAnsi="Times New Roman" w:eastAsia="宋体"/>
          <w:sz w:val="24"/>
        </w:rPr>
        <w:t>ACMG/AMP 2015年指南是目前临床遗传学实验室最广泛采用的变异解读标准。该指南将变异分为五个等级，并规定了28条证据标准，涵盖人群频率（如PM2、BA1）、计算预测（如PP3、BP4）、功能实验（如PS3、BS3）、遗传共分离（如PP1）等多个维度。</w:t>
      </w:r>
    </w:p>
    <w:p>
      <w:pPr>
        <w:spacing w:lineRule="auto" w:line="360" w:before="0" w:after="0"/>
        <w:ind w:firstLine="480"/>
        <w:jc w:val="both"/>
      </w:pPr>
      <w:r>
        <w:rPr>
          <w:rFonts w:ascii="Times New Roman" w:hAnsi="Times New Roman" w:eastAsia="宋体"/>
          <w:sz w:val="24"/>
        </w:rPr>
        <w:t>本文重点关注可通过计算方法自动化评估的证据条目，包括：BA1（变异在人群数据库中频率&gt;5%，为良性强证据）；PM2（变异在人群数据库中极罕见，AF&lt;0.01%，为致病中等证据）；PP3（多个计算工具预测变异有害，为致病支持证据）；BP4（多个计算工具预测变异良性，为良性支持证据）。</w:t>
      </w:r>
    </w:p>
    <w:p>
      <w:pPr>
        <w:spacing w:before="120" w:after="60" w:lineRule="auto" w:line="360"/>
        <w:jc w:val="left"/>
      </w:pPr>
      <w:r>
        <w:rPr>
          <w:rFonts w:ascii="Times New Roman" w:hAnsi="Times New Roman" w:eastAsia="宋体"/>
          <w:b/>
          <w:sz w:val="24"/>
        </w:rPr>
        <w:t>2.1.3  常用评估指标</w:t>
      </w:r>
    </w:p>
    <w:p>
      <w:pPr>
        <w:spacing w:lineRule="auto" w:line="360" w:before="0" w:after="0"/>
        <w:ind w:firstLine="480"/>
        <w:jc w:val="both"/>
      </w:pPr>
      <w:r>
        <w:rPr>
          <w:rFonts w:ascii="Times New Roman" w:hAnsi="Times New Roman" w:eastAsia="宋体"/>
          <w:sz w:val="24"/>
        </w:rPr>
        <w:t>本文采用以下指标评估模型性能：（1）受试者工作特征曲线下面积（AUROC）：衡量模型区分致病与良性变异的整体能力，取值范围[0,1]，值越大越好，0.5表示随机猜测。（2）精确率-召回率曲线下面积（AUPRC）：在类别不平衡情况下比AUROC更能反映模型对少数类（致病变异）的识别能力。（3）F1分数：精确率与召回率的调和平均值，综合衡量模型的分类性能。（4）Brier分数：预测概率与真实标签之间的均方误差，衡量概率预测的准确性，值越小越好。（5）期望校准误差（Expected Calibration Error，ECE）：衡量模型预测概率与实际频率之间的差距，值越小表示校准越好。</w:t>
      </w:r>
    </w:p>
    <w:p>
      <w:pPr>
        <w:spacing w:before="240" w:after="120" w:lineRule="auto" w:line="360"/>
        <w:jc w:val="left"/>
      </w:pPr>
      <w:r>
        <w:rPr>
          <w:rFonts w:ascii="Times New Roman" w:hAnsi="Times New Roman" w:eastAsia="黑体"/>
          <w:b/>
          <w:sz w:val="28"/>
        </w:rPr>
        <w:t>2.2  集成学习方法</w:t>
      </w:r>
    </w:p>
    <w:p>
      <w:pPr>
        <w:spacing w:before="120" w:after="60" w:lineRule="auto" w:line="360"/>
        <w:jc w:val="left"/>
      </w:pPr>
      <w:r>
        <w:rPr>
          <w:rFonts w:ascii="Times New Roman" w:hAnsi="Times New Roman" w:eastAsia="宋体"/>
          <w:b/>
          <w:sz w:val="24"/>
        </w:rPr>
        <w:t>2.2.1  XGBoost</w:t>
      </w:r>
    </w:p>
    <w:p>
      <w:pPr>
        <w:spacing w:lineRule="auto" w:line="360" w:before="0" w:after="0"/>
        <w:ind w:firstLine="480"/>
        <w:jc w:val="both"/>
      </w:pPr>
      <w:r>
        <w:rPr>
          <w:rFonts w:ascii="Times New Roman" w:hAnsi="Times New Roman" w:eastAsia="宋体"/>
          <w:sz w:val="24"/>
        </w:rPr>
        <w:t>XGBoost（eXtreme Gradient Boosting）是由Chen等人提出的梯度提升树算法的高效实现。其核心思想是通过迭代地添加新的决策树来拟合当前模型的残差，每棵树的目标函数为损失函数与正则化项之和。XGBoost通过二阶泰勒展开近似损失函数，并引入列采样、行采样等正则化策略，在防止过拟合的同时保持较高的训练效率。</w:t>
      </w:r>
    </w:p>
    <w:p>
      <w:pPr>
        <w:spacing w:before="120" w:after="60" w:lineRule="auto" w:line="360"/>
        <w:jc w:val="left"/>
      </w:pPr>
      <w:r>
        <w:rPr>
          <w:rFonts w:ascii="Times New Roman" w:hAnsi="Times New Roman" w:eastAsia="宋体"/>
          <w:b/>
          <w:sz w:val="24"/>
        </w:rPr>
        <w:t>2.2.2  LightGBM</w:t>
      </w:r>
    </w:p>
    <w:p>
      <w:pPr>
        <w:spacing w:lineRule="auto" w:line="360" w:before="0" w:after="0"/>
        <w:ind w:firstLine="480"/>
        <w:jc w:val="both"/>
      </w:pPr>
      <w:r>
        <w:rPr>
          <w:rFonts w:ascii="Times New Roman" w:hAnsi="Times New Roman" w:eastAsia="宋体"/>
          <w:sz w:val="24"/>
        </w:rPr>
        <w:t>LightGBM（Light Gradient Boosting Machine）是微软研究院提出的梯度提升树算法，通过基于梯度的单边采样（GOSS）和互斥特征捆绑（EFB）两项关键技术，在保持与XGBoost相当精度的同时显著提升了训练速度。LightGBM采用叶子优先（Leaf-wise）的树生长策略，相比XGBoost的层优先（Level-wise）策略，在相同叶子数量下能够获得更低的损失。</w:t>
      </w:r>
    </w:p>
    <w:p>
      <w:pPr>
        <w:spacing w:before="120" w:after="60" w:lineRule="auto" w:line="360"/>
        <w:jc w:val="left"/>
      </w:pPr>
      <w:r>
        <w:rPr>
          <w:rFonts w:ascii="Times New Roman" w:hAnsi="Times New Roman" w:eastAsia="宋体"/>
          <w:b/>
          <w:sz w:val="24"/>
        </w:rPr>
        <w:t>2.2.3  Out-of-Fold集成策略</w:t>
      </w:r>
    </w:p>
    <w:p>
      <w:pPr>
        <w:spacing w:lineRule="auto" w:line="360" w:before="0" w:after="0"/>
        <w:ind w:firstLine="480"/>
        <w:jc w:val="both"/>
      </w:pPr>
      <w:r>
        <w:rPr>
          <w:rFonts w:ascii="Times New Roman" w:hAnsi="Times New Roman" w:eastAsia="宋体"/>
          <w:sz w:val="24"/>
        </w:rPr>
        <w:t>为避免过拟合并获得无偏的概率估计，本文采用5折交叉验证的Out-of-Fold（OOF）策略：将训练集划分为5个等大小的子集，每次使用4个子集训练模型，在剩余1个子集上进行预测，最终将5次预测结果拼接得到完整的OOF预测概率。最终集成概率为XGBoost和LightGBM OOF概率的简单平均。这种策略确保了每个样本的预测概率均来自未见过该样本的模型，从而避免了训练集泄露问题。</w:t>
      </w:r>
    </w:p>
    <w:p>
      <w:pPr>
        <w:spacing w:before="240" w:after="120" w:lineRule="auto" w:line="360"/>
        <w:jc w:val="left"/>
      </w:pPr>
      <w:r>
        <w:rPr>
          <w:rFonts w:ascii="Times New Roman" w:hAnsi="Times New Roman" w:eastAsia="黑体"/>
          <w:b/>
          <w:sz w:val="28"/>
        </w:rPr>
        <w:t>2.3  基因组基础模型</w:t>
      </w:r>
    </w:p>
    <w:p>
      <w:pPr>
        <w:spacing w:before="120" w:after="60" w:lineRule="auto" w:line="360"/>
        <w:jc w:val="left"/>
      </w:pPr>
      <w:r>
        <w:rPr>
          <w:rFonts w:ascii="Times New Roman" w:hAnsi="Times New Roman" w:eastAsia="宋体"/>
          <w:b/>
          <w:sz w:val="24"/>
        </w:rPr>
        <w:t>2.3.1  Genos-10B模型</w:t>
      </w:r>
    </w:p>
    <w:p>
      <w:pPr>
        <w:spacing w:lineRule="auto" w:line="360" w:before="0" w:after="0"/>
        <w:ind w:firstLine="480"/>
        <w:jc w:val="both"/>
      </w:pPr>
      <w:r>
        <w:rPr>
          <w:rFonts w:ascii="Times New Roman" w:hAnsi="Times New Roman" w:eastAsia="宋体"/>
          <w:sz w:val="24"/>
        </w:rPr>
        <w:t>Genos-10B是由华大智造开发的以人类基因组为中心的基础模型，具有以下特点：（1）架构：采用混合专家（Mixture of Experts，MoE）架构，参数量100亿，支持最长100万个token的上下文窗口。（2）训练数据：在数百个高质量人类基因组序列上进行预训练，专注于人类基因组的序列特征学习。（3）功能：提供变异致病性预测（VariantEffectPred-FT）、DNA序列嵌入提取和RNA-seq覆盖预测三项核心功能。（4）变异预测接口：输入基因组坐标（染色体、位置、参考等位基因、替代等位基因）和参考基因组版本（hg19/hg38），输出致病性概率（score_Pathogenic）和良性概率（score_Benign）。本文通过Genos API批量获取842条BRCA1/2变异的致病性评分，作为集成模型的第6个特征维度。</w:t>
      </w:r>
    </w:p>
    <w:p>
      <w:pPr>
        <w:spacing w:before="120" w:after="60" w:lineRule="auto" w:line="360"/>
        <w:jc w:val="left"/>
      </w:pPr>
      <w:r>
        <w:rPr>
          <w:rFonts w:ascii="Times New Roman" w:hAnsi="Times New Roman" w:eastAsia="宋体"/>
          <w:b/>
          <w:sz w:val="24"/>
        </w:rPr>
        <w:t>2.3.2  进化保守性评分</w:t>
      </w:r>
    </w:p>
    <w:p>
      <w:pPr>
        <w:spacing w:lineRule="auto" w:line="360" w:before="0" w:after="0"/>
        <w:ind w:firstLine="480"/>
        <w:jc w:val="both"/>
      </w:pPr>
      <w:r>
        <w:rPr>
          <w:rFonts w:ascii="Times New Roman" w:hAnsi="Times New Roman" w:eastAsia="宋体"/>
          <w:sz w:val="24"/>
        </w:rPr>
        <w:t>phyloP（Phylogenetic P-values）是一种基于系统发育的保守性评分，通过比较多物种基因组序列，评估特定位点在进化过程中受到的选择压力。正值表示该位点受到正向选择（保守），负值表示受到负向选择（快速进化）。本文通过Ensembl VEP REST API获取每条变异位点的phyloP评分，作为进化约束特征。</w:t>
      </w:r>
    </w:p>
    <w:p>
      <w:pPr>
        <w:spacing w:before="240" w:after="120" w:lineRule="auto" w:line="360"/>
        <w:jc w:val="left"/>
      </w:pPr>
      <w:r>
        <w:rPr>
          <w:rFonts w:ascii="Times New Roman" w:hAnsi="Times New Roman" w:eastAsia="黑体"/>
          <w:b/>
          <w:sz w:val="28"/>
        </w:rPr>
        <w:t>2.4  概率校准方法</w:t>
      </w:r>
    </w:p>
    <w:p>
      <w:pPr>
        <w:spacing w:before="120" w:after="60" w:lineRule="auto" w:line="360"/>
        <w:jc w:val="left"/>
      </w:pPr>
      <w:r>
        <w:rPr>
          <w:rFonts w:ascii="Times New Roman" w:hAnsi="Times New Roman" w:eastAsia="宋体"/>
          <w:b/>
          <w:sz w:val="24"/>
        </w:rPr>
        <w:t>2.4.1  Platt Scaling</w:t>
      </w:r>
    </w:p>
    <w:p>
      <w:pPr>
        <w:spacing w:lineRule="auto" w:line="360" w:before="0" w:after="0"/>
        <w:ind w:firstLine="480"/>
        <w:jc w:val="both"/>
      </w:pPr>
      <w:r>
        <w:rPr>
          <w:rFonts w:ascii="Times New Roman" w:hAnsi="Times New Roman" w:eastAsia="宋体"/>
          <w:sz w:val="24"/>
        </w:rPr>
        <w:t>Platt Scaling是最简单也最常用的概率校准方法，其核心思想是在模型原始输出上拟合一个逻辑回归模型：p_cal = σ(A·f(x) + B)，其中f(x)为模型原始输出，A和B为通过最大似然估计学习的参数，σ为Sigmoid函数。Platt Scaling计算简单，参数少，在样本量有限时表现稳定，但只能拟合单调的S形校准曲线。</w:t>
      </w:r>
    </w:p>
    <w:p>
      <w:pPr>
        <w:spacing w:before="120" w:after="60" w:lineRule="auto" w:line="360"/>
        <w:jc w:val="left"/>
      </w:pPr>
      <w:r>
        <w:rPr>
          <w:rFonts w:ascii="Times New Roman" w:hAnsi="Times New Roman" w:eastAsia="宋体"/>
          <w:b/>
          <w:sz w:val="24"/>
        </w:rPr>
        <w:t>2.4.2  Isotonic Regression</w:t>
      </w:r>
    </w:p>
    <w:p>
      <w:pPr>
        <w:spacing w:lineRule="auto" w:line="360" w:before="0" w:after="0"/>
        <w:ind w:firstLine="480"/>
        <w:jc w:val="both"/>
      </w:pPr>
      <w:r>
        <w:rPr>
          <w:rFonts w:ascii="Times New Roman" w:hAnsi="Times New Roman" w:eastAsia="宋体"/>
          <w:sz w:val="24"/>
        </w:rPr>
        <w:t>Isotonic Regression是一种非参数校准方法，通过拟合单调非递减函数来校准概率，使用保序回归（Pool Adjacent Violators Algorithm，PAVA）算法求解。Isotonic Regression理论上可以拟合任意单调校准曲线，但在样本量较小时容易过拟合，导致校准后的概率分布出现阶梯状不连续。</w:t>
      </w:r>
    </w:p>
    <w:p>
      <w:pPr>
        <w:spacing w:before="120" w:after="60" w:lineRule="auto" w:line="360"/>
        <w:jc w:val="left"/>
      </w:pPr>
      <w:r>
        <w:rPr>
          <w:rFonts w:ascii="Times New Roman" w:hAnsi="Times New Roman" w:eastAsia="宋体"/>
          <w:b/>
          <w:sz w:val="24"/>
        </w:rPr>
        <w:t>2.4.3  期望校准误差</w:t>
      </w:r>
    </w:p>
    <w:p>
      <w:pPr>
        <w:spacing w:lineRule="auto" w:line="360" w:before="0" w:after="0"/>
        <w:ind w:firstLine="480"/>
        <w:jc w:val="both"/>
      </w:pPr>
      <w:r>
        <w:rPr>
          <w:rFonts w:ascii="Times New Roman" w:hAnsi="Times New Roman" w:eastAsia="宋体"/>
          <w:sz w:val="24"/>
        </w:rPr>
        <w:t>期望校准误差（ECE）是衡量概率校准质量的标准指标，通过将预测概率划分为若干区间（bin），计算每个区间内预测概率均值与实际正例比例之间的加权绝对差。ECE越小，表示模型的概率校准越好。本文使用10个等宽区间计算ECE。</w:t>
      </w:r>
    </w:p>
    <w:p>
      <w:pPr>
        <w:spacing w:before="240" w:after="120" w:lineRule="auto" w:line="360"/>
        <w:jc w:val="left"/>
      </w:pPr>
      <w:r>
        <w:rPr>
          <w:rFonts w:ascii="Times New Roman" w:hAnsi="Times New Roman" w:eastAsia="黑体"/>
          <w:b/>
          <w:sz w:val="28"/>
        </w:rPr>
        <w:t>2.5  大语言模型与Chain-of-Thought推理</w:t>
      </w:r>
    </w:p>
    <w:p>
      <w:pPr>
        <w:spacing w:before="120" w:after="60" w:lineRule="auto" w:line="360"/>
        <w:jc w:val="left"/>
      </w:pPr>
      <w:r>
        <w:rPr>
          <w:rFonts w:ascii="Times New Roman" w:hAnsi="Times New Roman" w:eastAsia="宋体"/>
          <w:b/>
          <w:sz w:val="24"/>
        </w:rPr>
        <w:t>2.5.1  Chain-of-Thought推理</w:t>
      </w:r>
    </w:p>
    <w:p>
      <w:pPr>
        <w:spacing w:lineRule="auto" w:line="360" w:before="0" w:after="0"/>
        <w:ind w:firstLine="480"/>
        <w:jc w:val="both"/>
      </w:pPr>
      <w:r>
        <w:rPr>
          <w:rFonts w:ascii="Times New Roman" w:hAnsi="Times New Roman" w:eastAsia="宋体"/>
          <w:sz w:val="24"/>
        </w:rPr>
        <w:t>Chain-of-Thought（CoT）推理是一种提示工程技术，通过在提示中引导模型逐步展示推理过程，显著提升了LLM在复杂推理任务上的表现。与直接要求模型给出最终答案不同，CoT推理要求模型将复杂问题分解为若干中间步骤，每个步骤的输出作为下一步骤的输入，最终得到有据可查的推理链。在临床变异解读场景中，CoT推理的优势体现在：推理过程透明可追溯，便于临床医生审核；强制模型逐条分析每个证据条目，降低遗漏重要证据的风险；通过结构化输出格式，确保报告内容的完整性和一致性。</w:t>
      </w:r>
    </w:p>
    <w:p>
      <w:pPr>
        <w:spacing w:before="120" w:after="60" w:lineRule="auto" w:line="360"/>
        <w:jc w:val="left"/>
      </w:pPr>
      <w:r>
        <w:rPr>
          <w:rFonts w:ascii="Times New Roman" w:hAnsi="Times New Roman" w:eastAsia="宋体"/>
          <w:b/>
          <w:sz w:val="24"/>
        </w:rPr>
        <w:t>2.5.2  Kimi大语言模型</w:t>
      </w:r>
    </w:p>
    <w:p>
      <w:pPr>
        <w:spacing w:lineRule="auto" w:line="360" w:before="0" w:after="0"/>
        <w:ind w:firstLine="480"/>
        <w:jc w:val="both"/>
      </w:pPr>
      <w:r>
        <w:rPr>
          <w:rFonts w:ascii="Times New Roman" w:hAnsi="Times New Roman" w:eastAsia="宋体"/>
          <w:sz w:val="24"/>
        </w:rPr>
        <w:t>Kimi是由月之暗面（Moonshot AI）开发的大语言模型，具有强大的中文理解和生成能力，支持最长32K token的上下文窗口。本文使用moonshot-v1-32k模型，通过OpenAI兼容的API接口调用，实现ACMG证据推理报告的自动化生成。</w:t>
      </w:r>
    </w:p>
    <w:p>
      <w:pPr>
        <w:spacing w:before="120" w:after="60" w:lineRule="auto" w:line="360"/>
        <w:jc w:val="left"/>
      </w:pPr>
      <w:r>
        <w:rPr>
          <w:rFonts w:ascii="Times New Roman" w:hAnsi="Times New Roman" w:eastAsia="宋体"/>
          <w:b/>
          <w:sz w:val="24"/>
        </w:rPr>
        <w:t>2.5.3  结构化提示设计</w:t>
      </w:r>
    </w:p>
    <w:p>
      <w:pPr>
        <w:spacing w:lineRule="auto" w:line="360" w:before="0" w:after="0"/>
        <w:ind w:firstLine="480"/>
        <w:jc w:val="both"/>
      </w:pPr>
      <w:r>
        <w:rPr>
          <w:rFonts w:ascii="Times New Roman" w:hAnsi="Times New Roman" w:eastAsia="宋体"/>
          <w:sz w:val="24"/>
        </w:rPr>
        <w:t>为确保LLM生成的报告质量，本文设计了严格的结构化提示（Structured Prompt），包含以下关键约束：（1）明确禁止将ClinVar标注作为ACMG证据（避免循环论证）；（2）要求所有推理必须基于提供的定量特征值；（3）规定六部分报告结构（变异基本信息、SNV-judge预测、多维度证据分析、SHAP特征贡献、ACMG综合分类、临床意义与局限性）；（4）要求证据冲突时必须明确讨论权重差异。</w:t>
      </w:r>
    </w:p>
    <w:p>
      <w:r>
        <w:br w:type="page"/>
      </w:r>
    </w:p>
    <w:p>
      <w:pPr>
        <w:spacing w:before="360" w:after="240" w:lineRule="auto" w:line="360"/>
        <w:jc w:val="center"/>
      </w:pPr>
      <w:r>
        <w:rPr>
          <w:rFonts w:ascii="Times New Roman" w:hAnsi="Times New Roman" w:eastAsia="黑体"/>
          <w:b/>
          <w:sz w:val="32"/>
        </w:rPr>
        <w:t>第三章  系统设计与实现</w:t>
      </w:r>
    </w:p>
    <w:p>
      <w:pPr>
        <w:spacing w:before="240" w:after="120" w:lineRule="auto" w:line="360"/>
        <w:jc w:val="left"/>
      </w:pPr>
      <w:r>
        <w:rPr>
          <w:rFonts w:ascii="Times New Roman" w:hAnsi="Times New Roman" w:eastAsia="黑体"/>
          <w:b/>
          <w:sz w:val="28"/>
        </w:rPr>
        <w:t>3.1  系统总体架构</w:t>
      </w:r>
    </w:p>
    <w:p>
      <w:pPr>
        <w:spacing w:lineRule="auto" w:line="360" w:before="0" w:after="0"/>
        <w:ind w:firstLine="480"/>
        <w:jc w:val="both"/>
      </w:pPr>
      <w:r>
        <w:rPr>
          <w:rFonts w:ascii="Times New Roman" w:hAnsi="Times New Roman" w:eastAsia="宋体"/>
          <w:sz w:val="24"/>
        </w:rPr>
        <w:t>SNV-judge平台采用模块化设计，由数据层、特征层、模型层和应用层四个层次构成。</w:t>
      </w:r>
    </w:p>
    <w:p>
      <w:pPr>
        <w:spacing w:lineRule="auto" w:line="360" w:before="0" w:after="0"/>
        <w:ind w:firstLine="480"/>
        <w:jc w:val="both"/>
      </w:pPr>
      <w:r>
        <w:rPr>
          <w:rFonts w:ascii="Times New Roman" w:hAnsi="Times New Roman" w:eastAsia="宋体"/>
          <w:sz w:val="24"/>
        </w:rPr>
        <w:t>数据层负责从ClinVar数据库获取标注变异数据，并通过Genos API、Ensembl VEP REST API等外部接口批量获取特征数据。特征层对原始数据进行清洗、归一化和特征工程处理，构建统一的特征矩阵。模型层包含集成学习模型（XGBoost + LightGBM）和概率校准模块（Platt Scaling），负责生成校准后的致病性概率。应用层包含Plan C智能体模块，基于模型输出和SHAP特征贡献，通过Kimi大语言模型生成结构化的ACMG临床解读报告。</w:t>
      </w:r>
    </w:p>
    <w:p>
      <w:pPr>
        <w:spacing w:lineRule="auto" w:line="360" w:before="0" w:after="0"/>
        <w:ind w:firstLine="480"/>
        <w:jc w:val="both"/>
      </w:pPr>
      <w:r>
        <w:rPr>
          <w:rFonts w:ascii="Times New Roman" w:hAnsi="Times New Roman" w:eastAsia="宋体"/>
          <w:sz w:val="24"/>
        </w:rPr>
        <w:t>整个平台的工作流程如下：输入一条SNV的基因组坐标（染色体、位置、参考等位基因、替代等位基因），系统自动调用各特征获取接口，构建8维特征向量，经集成模型预测和Platt校准后输出致病性概率，同时计算SHAP特征贡献，最终由Plan C模块生成完整的临床解读报告。</w:t>
      </w:r>
    </w:p>
    <w:p>
      <w:pPr>
        <w:spacing w:before="240" w:after="120" w:lineRule="auto" w:line="360"/>
        <w:jc w:val="left"/>
      </w:pPr>
      <w:r>
        <w:rPr>
          <w:rFonts w:ascii="Times New Roman" w:hAnsi="Times New Roman" w:eastAsia="黑体"/>
          <w:b/>
          <w:sz w:val="28"/>
        </w:rPr>
        <w:t>3.2  数据集构建</w:t>
      </w:r>
    </w:p>
    <w:p>
      <w:pPr>
        <w:spacing w:before="120" w:after="60" w:lineRule="auto" w:line="360"/>
        <w:jc w:val="left"/>
      </w:pPr>
      <w:r>
        <w:rPr>
          <w:rFonts w:ascii="Times New Roman" w:hAnsi="Times New Roman" w:eastAsia="宋体"/>
          <w:b/>
          <w:sz w:val="24"/>
        </w:rPr>
        <w:t>3.2.1  数据来源</w:t>
      </w:r>
    </w:p>
    <w:p>
      <w:pPr>
        <w:spacing w:lineRule="auto" w:line="360" w:before="0" w:after="0"/>
        <w:ind w:firstLine="480"/>
        <w:jc w:val="both"/>
      </w:pPr>
      <w:r>
        <w:rPr>
          <w:rFonts w:ascii="Times New Roman" w:hAnsi="Times New Roman" w:eastAsia="宋体"/>
          <w:sz w:val="24"/>
        </w:rPr>
        <w:t>本文以ClinVar数据库（2024年12月版本）中BRCA1和BRCA2基因的错义变异为基准数据集。ClinVar是美国国家生物技术信息中心（NCBI）维护的公共变异-表型关联数据库，收录了来自全球临床实验室和研究机构的变异解读结果，是目前最权威的变异致病性标注数据库之一。</w:t>
      </w:r>
    </w:p>
    <w:p>
      <w:pPr>
        <w:spacing w:lineRule="auto" w:line="360" w:before="0" w:after="0"/>
        <w:ind w:firstLine="480"/>
        <w:jc w:val="both"/>
      </w:pPr>
      <w:r>
        <w:rPr>
          <w:rFonts w:ascii="Times New Roman" w:hAnsi="Times New Roman" w:eastAsia="宋体"/>
          <w:sz w:val="24"/>
        </w:rPr>
        <w:t>选择BRCA1/2基因的原因如下：（1）BRCA1/2是遗传性乳腺癌和卵巢癌的主要致病基因，临床意义重大；（2）ClinVar中BRCA1/2变异的标注质量高，经过多个实验室的独立验证；（3）BRCA1/2变异数量充足，能够支持机器学习模型的训练和评估。</w:t>
      </w:r>
    </w:p>
    <w:p>
      <w:pPr>
        <w:spacing w:before="120" w:after="60" w:lineRule="auto" w:line="360"/>
        <w:jc w:val="left"/>
      </w:pPr>
      <w:r>
        <w:rPr>
          <w:rFonts w:ascii="Times New Roman" w:hAnsi="Times New Roman" w:eastAsia="宋体"/>
          <w:b/>
          <w:sz w:val="24"/>
        </w:rPr>
        <w:t>3.2.2  数据筛选标准</w:t>
      </w:r>
    </w:p>
    <w:p>
      <w:pPr>
        <w:spacing w:lineRule="auto" w:line="360" w:before="0" w:after="0"/>
        <w:ind w:firstLine="480"/>
        <w:jc w:val="both"/>
      </w:pPr>
      <w:r>
        <w:rPr>
          <w:rFonts w:ascii="Times New Roman" w:hAnsi="Times New Roman" w:eastAsia="宋体"/>
          <w:sz w:val="24"/>
        </w:rPr>
        <w:t>为确保数据集质量，本文采用以下筛选标准：（1）变异类型：仅保留错义变异（missense_variant），排除无义变异、剪接位点变异等其他类型。（2）临床意义：仅保留具有明确致病性标注的变异，即标注为"Pathogenic"或"Likely pathogenic"（合并为致病类）以及"Benign"或"Likely benign"（合并为良性类）的变异，排除"Uncertain significance"等模糊标注。（3）审核状态：优先保留具有多个提交者一致意见的变异，以确保标注可靠性。（4）参考基因组：统一使用GRCh38（hg38）坐标系。</w:t>
      </w:r>
    </w:p>
    <w:p>
      <w:pPr>
        <w:spacing w:lineRule="auto" w:line="360" w:before="0" w:after="0"/>
        <w:ind w:firstLine="480"/>
        <w:jc w:val="both"/>
      </w:pPr>
      <w:r>
        <w:rPr>
          <w:rFonts w:ascii="Times New Roman" w:hAnsi="Times New Roman" w:eastAsia="宋体"/>
          <w:sz w:val="24"/>
        </w:rPr>
        <w:t>经上述筛选，最终获得842条变异，其中致病变异289条（34.3%），良性变异553条（65.7%）；BRCA1变异165条，BRCA2变异677条（含部分重叠）。</w:t>
      </w:r>
    </w:p>
    <w:p>
      <w:pPr>
        <w:spacing w:before="120" w:after="60" w:lineRule="auto" w:line="360"/>
        <w:jc w:val="left"/>
      </w:pPr>
      <w:r>
        <w:rPr>
          <w:rFonts w:ascii="Times New Roman" w:hAnsi="Times New Roman" w:eastAsia="宋体"/>
          <w:b/>
          <w:sz w:val="24"/>
        </w:rPr>
        <w:t>3.2.3  数据集统计特征</w:t>
      </w:r>
    </w:p>
    <w:p>
      <w:pPr>
        <w:spacing w:lineRule="auto" w:line="360" w:before="0" w:after="0"/>
        <w:ind w:firstLine="480"/>
        <w:jc w:val="both"/>
      </w:pPr>
      <w:r>
        <w:rPr>
          <w:rFonts w:ascii="Times New Roman" w:hAnsi="Times New Roman" w:eastAsia="宋体"/>
          <w:sz w:val="24"/>
        </w:rPr>
        <w:t>表3-1列出了数据集的基本统计特征。致病变异与良性变异的比例约为1:1.91，存在一定的类别不平衡，在模型训练时通过设置class_weight参数进行处理。</w:t>
      </w:r>
    </w:p>
    <w:p>
      <w:pPr>
        <w:spacing w:before="60" w:after="120" w:lineRule="auto" w:line="360"/>
        <w:jc w:val="center"/>
      </w:pPr>
      <w:r>
        <w:rPr>
          <w:rFonts w:ascii="Times New Roman" w:hAnsi="Times New Roman" w:eastAsia="宋体"/>
          <w:sz w:val="18"/>
        </w:rPr>
        <w:t>表3-1  数据集基本统计特征</w:t>
      </w:r>
    </w:p>
    <w:tbl>
      <w:tblPr>
        <w:tblStyle w:val="TableGrid"/>
        <w:tblW w:type="auto" w:w="0"/>
        <w:tblLook w:firstColumn="1" w:firstRow="1" w:lastColumn="0" w:lastRow="0" w:noHBand="0" w:noVBand="1" w:val="04A0"/>
      </w:tblPr>
      <w:tblGrid>
        <w:gridCol w:w="3118"/>
        <w:gridCol w:w="3118"/>
        <w:gridCol w:w="3118"/>
      </w:tblGrid>
      <w:tr>
        <w:tc>
          <w:tcPr>
            <w:tcW w:type="dxa" w:w="3118"/>
          </w:tcPr>
          <w:p>
            <w:pPr>
              <w:jc w:val="center"/>
            </w:pPr>
            <w:r>
              <w:rPr>
                <w:rFonts w:ascii="Times New Roman" w:hAnsi="Times New Roman" w:eastAsia="宋体"/>
                <w:b/>
                <w:sz w:val="21"/>
              </w:rPr>
              <w:t>统计项目</w:t>
            </w:r>
          </w:p>
        </w:tc>
        <w:tc>
          <w:tcPr>
            <w:tcW w:type="dxa" w:w="3118"/>
          </w:tcPr>
          <w:p>
            <w:pPr>
              <w:jc w:val="center"/>
            </w:pPr>
            <w:r>
              <w:rPr>
                <w:rFonts w:ascii="Times New Roman" w:hAnsi="Times New Roman" w:eastAsia="宋体"/>
                <w:b/>
                <w:sz w:val="21"/>
              </w:rPr>
              <w:t>数量</w:t>
            </w:r>
          </w:p>
        </w:tc>
        <w:tc>
          <w:tcPr>
            <w:tcW w:type="dxa" w:w="3118"/>
          </w:tcPr>
          <w:p>
            <w:pPr>
              <w:jc w:val="center"/>
            </w:pPr>
            <w:r>
              <w:rPr>
                <w:rFonts w:ascii="Times New Roman" w:hAnsi="Times New Roman" w:eastAsia="宋体"/>
                <w:b/>
                <w:sz w:val="21"/>
              </w:rPr>
              <w:t>比例</w:t>
            </w:r>
          </w:p>
        </w:tc>
      </w:tr>
      <w:tr>
        <w:tc>
          <w:tcPr>
            <w:tcW w:type="dxa" w:w="3118"/>
          </w:tcPr>
          <w:p>
            <w:pPr>
              <w:jc w:val="center"/>
            </w:pPr>
            <w:r>
              <w:rPr>
                <w:rFonts w:ascii="Times New Roman" w:hAnsi="Times New Roman" w:eastAsia="宋体"/>
                <w:sz w:val="21"/>
              </w:rPr>
              <w:t>总变异数</w:t>
            </w:r>
          </w:p>
        </w:tc>
        <w:tc>
          <w:tcPr>
            <w:tcW w:type="dxa" w:w="3118"/>
          </w:tcPr>
          <w:p>
            <w:pPr>
              <w:jc w:val="center"/>
            </w:pPr>
            <w:r>
              <w:rPr>
                <w:rFonts w:ascii="Times New Roman" w:hAnsi="Times New Roman" w:eastAsia="宋体"/>
                <w:sz w:val="21"/>
              </w:rPr>
              <w:t>842</w:t>
            </w:r>
          </w:p>
        </w:tc>
        <w:tc>
          <w:tcPr>
            <w:tcW w:type="dxa" w:w="3118"/>
          </w:tcPr>
          <w:p>
            <w:pPr>
              <w:jc w:val="center"/>
            </w:pPr>
            <w:r>
              <w:rPr>
                <w:rFonts w:ascii="Times New Roman" w:hAnsi="Times New Roman" w:eastAsia="宋体"/>
                <w:sz w:val="21"/>
              </w:rPr>
              <w:t>100%</w:t>
            </w:r>
          </w:p>
        </w:tc>
      </w:tr>
      <w:tr>
        <w:tc>
          <w:tcPr>
            <w:tcW w:type="dxa" w:w="3118"/>
          </w:tcPr>
          <w:p>
            <w:pPr>
              <w:jc w:val="center"/>
            </w:pPr>
            <w:r>
              <w:rPr>
                <w:rFonts w:ascii="Times New Roman" w:hAnsi="Times New Roman" w:eastAsia="宋体"/>
                <w:sz w:val="21"/>
              </w:rPr>
              <w:t>致病变异（Pathogenic/Likely pathogenic）</w:t>
            </w:r>
          </w:p>
        </w:tc>
        <w:tc>
          <w:tcPr>
            <w:tcW w:type="dxa" w:w="3118"/>
          </w:tcPr>
          <w:p>
            <w:pPr>
              <w:jc w:val="center"/>
            </w:pPr>
            <w:r>
              <w:rPr>
                <w:rFonts w:ascii="Times New Roman" w:hAnsi="Times New Roman" w:eastAsia="宋体"/>
                <w:sz w:val="21"/>
              </w:rPr>
              <w:t>289</w:t>
            </w:r>
          </w:p>
        </w:tc>
        <w:tc>
          <w:tcPr>
            <w:tcW w:type="dxa" w:w="3118"/>
          </w:tcPr>
          <w:p>
            <w:pPr>
              <w:jc w:val="center"/>
            </w:pPr>
            <w:r>
              <w:rPr>
                <w:rFonts w:ascii="Times New Roman" w:hAnsi="Times New Roman" w:eastAsia="宋体"/>
                <w:sz w:val="21"/>
              </w:rPr>
              <w:t>34.3%</w:t>
            </w:r>
          </w:p>
        </w:tc>
      </w:tr>
      <w:tr>
        <w:tc>
          <w:tcPr>
            <w:tcW w:type="dxa" w:w="3118"/>
          </w:tcPr>
          <w:p>
            <w:pPr>
              <w:jc w:val="center"/>
            </w:pPr>
            <w:r>
              <w:rPr>
                <w:rFonts w:ascii="Times New Roman" w:hAnsi="Times New Roman" w:eastAsia="宋体"/>
                <w:sz w:val="21"/>
              </w:rPr>
              <w:t>良性变异（Benign/Likely benign）</w:t>
            </w:r>
          </w:p>
        </w:tc>
        <w:tc>
          <w:tcPr>
            <w:tcW w:type="dxa" w:w="3118"/>
          </w:tcPr>
          <w:p>
            <w:pPr>
              <w:jc w:val="center"/>
            </w:pPr>
            <w:r>
              <w:rPr>
                <w:rFonts w:ascii="Times New Roman" w:hAnsi="Times New Roman" w:eastAsia="宋体"/>
                <w:sz w:val="21"/>
              </w:rPr>
              <w:t>553</w:t>
            </w:r>
          </w:p>
        </w:tc>
        <w:tc>
          <w:tcPr>
            <w:tcW w:type="dxa" w:w="3118"/>
          </w:tcPr>
          <w:p>
            <w:pPr>
              <w:jc w:val="center"/>
            </w:pPr>
            <w:r>
              <w:rPr>
                <w:rFonts w:ascii="Times New Roman" w:hAnsi="Times New Roman" w:eastAsia="宋体"/>
                <w:sz w:val="21"/>
              </w:rPr>
              <w:t>65.7%</w:t>
            </w:r>
          </w:p>
        </w:tc>
      </w:tr>
      <w:tr>
        <w:tc>
          <w:tcPr>
            <w:tcW w:type="dxa" w:w="3118"/>
          </w:tcPr>
          <w:p>
            <w:pPr>
              <w:jc w:val="center"/>
            </w:pPr>
            <w:r>
              <w:rPr>
                <w:rFonts w:ascii="Times New Roman" w:hAnsi="Times New Roman" w:eastAsia="宋体"/>
                <w:sz w:val="21"/>
              </w:rPr>
              <w:t>BRCA1变异</w:t>
            </w:r>
          </w:p>
        </w:tc>
        <w:tc>
          <w:tcPr>
            <w:tcW w:type="dxa" w:w="3118"/>
          </w:tcPr>
          <w:p>
            <w:pPr>
              <w:jc w:val="center"/>
            </w:pPr>
            <w:r>
              <w:rPr>
                <w:rFonts w:ascii="Times New Roman" w:hAnsi="Times New Roman" w:eastAsia="宋体"/>
                <w:sz w:val="21"/>
              </w:rPr>
              <w:t>165</w:t>
            </w:r>
          </w:p>
        </w:tc>
        <w:tc>
          <w:tcPr>
            <w:tcW w:type="dxa" w:w="3118"/>
          </w:tcPr>
          <w:p>
            <w:pPr>
              <w:jc w:val="center"/>
            </w:pPr>
            <w:r>
              <w:rPr>
                <w:rFonts w:ascii="Times New Roman" w:hAnsi="Times New Roman" w:eastAsia="宋体"/>
                <w:sz w:val="21"/>
              </w:rPr>
              <w:t>19.6%</w:t>
            </w:r>
          </w:p>
        </w:tc>
      </w:tr>
    </w:tbl>
    <w:p>
      <w:pPr>
        <w:spacing w:before="240" w:after="120" w:lineRule="auto" w:line="360"/>
        <w:jc w:val="left"/>
      </w:pPr>
      <w:r>
        <w:rPr>
          <w:rFonts w:ascii="Times New Roman" w:hAnsi="Times New Roman" w:eastAsia="黑体"/>
          <w:b/>
          <w:sz w:val="28"/>
        </w:rPr>
        <w:t>3.3  特征工程</w:t>
      </w:r>
    </w:p>
    <w:p>
      <w:pPr>
        <w:spacing w:before="120" w:after="60" w:lineRule="auto" w:line="360"/>
        <w:jc w:val="left"/>
      </w:pPr>
      <w:r>
        <w:rPr>
          <w:rFonts w:ascii="Times New Roman" w:hAnsi="Times New Roman" w:eastAsia="宋体"/>
          <w:b/>
          <w:sz w:val="24"/>
        </w:rPr>
        <w:t>3.3.1  特征选择</w:t>
      </w:r>
    </w:p>
    <w:p>
      <w:pPr>
        <w:spacing w:lineRule="auto" w:line="360" w:before="0" w:after="0"/>
        <w:ind w:firstLine="480"/>
        <w:jc w:val="both"/>
      </w:pPr>
      <w:r>
        <w:rPr>
          <w:rFonts w:ascii="Times New Roman" w:hAnsi="Times New Roman" w:eastAsia="宋体"/>
          <w:sz w:val="24"/>
        </w:rPr>
        <w:t>本文选取8个特征维度构建特征矩阵，涵盖序列保守性、蛋白质功能预测、基因组基础模型评分、进化约束和人群频率五个方面：（1）SIFT评分（sift_score_inv）：SIFT原始评分越低表示变异越有害，本文取其反转值（1 - SIFT score），使得评分越高表示越有害，与其他特征方向一致。（2）PolyPhen-2评分（polyphen_score）：取值范围[0,1]，越高表示变异越可能有害。（3）AlphaMissense致病性评分（am_pathogenicity）：取值范围[0,1]，越高表示越可能致病。（4）CADD Phred评分（cadd_phred）：经Phred变换的CADD评分，取值范围[0,99]，越高表示变异越有害。（5）REVEL评分（revel）：取值范围[0,1]，越高表示越可能致病。（6）Genos-10B致病性评分（genos_pathogenic）：通过Genos API获取，取值范围[0,1]，越高表示越可能致病。（7）phyloP保守性评分（phylop）：通过Ensembl VEP REST API获取，正值表示保守，负值表示快速进化。（8）gnomAD人群频率（gnomad_af_log10）：取log10变换以压缩量级差异；对于gnomAD中未收录的变异（AF=0），赋值为-8（对应检测下限以下）。</w:t>
      </w:r>
    </w:p>
    <w:p>
      <w:pPr>
        <w:spacing w:before="120" w:after="60" w:lineRule="auto" w:line="360"/>
        <w:jc w:val="left"/>
      </w:pPr>
      <w:r>
        <w:rPr>
          <w:rFonts w:ascii="Times New Roman" w:hAnsi="Times New Roman" w:eastAsia="宋体"/>
          <w:b/>
          <w:sz w:val="24"/>
        </w:rPr>
        <w:t>3.3.2  缺失值处理</w:t>
      </w:r>
    </w:p>
    <w:p>
      <w:pPr>
        <w:spacing w:lineRule="auto" w:line="360" w:before="0" w:after="0"/>
        <w:ind w:firstLine="480"/>
        <w:jc w:val="both"/>
      </w:pPr>
      <w:r>
        <w:rPr>
          <w:rFonts w:ascii="Times New Roman" w:hAnsi="Times New Roman" w:eastAsia="宋体"/>
          <w:sz w:val="24"/>
        </w:rPr>
        <w:t>各特征的缺失情况如下：gnomAD AF缺失率70.2%（大多数致病变异在gnomAD中未收录，赋值为0后取log10=-8）；phyloP缺失率1.1%（9条变异）；其余特征缺失率均低于5%。对于少量缺失值，采用各特征的中位数进行填充。</w:t>
      </w:r>
    </w:p>
    <w:p>
      <w:pPr>
        <w:spacing w:before="120" w:after="60" w:lineRule="auto" w:line="360"/>
        <w:jc w:val="left"/>
      </w:pPr>
      <w:r>
        <w:rPr>
          <w:rFonts w:ascii="Times New Roman" w:hAnsi="Times New Roman" w:eastAsia="宋体"/>
          <w:b/>
          <w:sz w:val="24"/>
        </w:rPr>
        <w:t>3.3.3  特征获取流程</w:t>
      </w:r>
    </w:p>
    <w:p>
      <w:pPr>
        <w:spacing w:lineRule="auto" w:line="360" w:before="0" w:after="0"/>
        <w:ind w:firstLine="480"/>
        <w:jc w:val="both"/>
      </w:pPr>
      <w:r>
        <w:rPr>
          <w:rFonts w:ascii="Times New Roman" w:hAnsi="Times New Roman" w:eastAsia="宋体"/>
          <w:sz w:val="24"/>
        </w:rPr>
        <w:t>Genos-10B评分通过Genos API批量获取，采用4线程并发调用，对842条变异全部成功获取评分，成功率100%，总耗时约10.7分钟。gnomAD AF和phyloP通过Ensembl VEP REST API批量查询，每批次最多200条变异，按染色体和位置排序后提交，共5个批次，总耗时约2分钟。</w:t>
      </w:r>
    </w:p>
    <w:p>
      <w:pPr>
        <w:spacing w:before="240" w:after="120" w:lineRule="auto" w:line="360"/>
        <w:jc w:val="left"/>
      </w:pPr>
      <w:r>
        <w:rPr>
          <w:rFonts w:ascii="Times New Roman" w:hAnsi="Times New Roman" w:eastAsia="黑体"/>
          <w:b/>
          <w:sz w:val="28"/>
        </w:rPr>
        <w:t>3.4  集成模型训练</w:t>
      </w:r>
    </w:p>
    <w:p>
      <w:pPr>
        <w:spacing w:before="120" w:after="60" w:lineRule="auto" w:line="360"/>
        <w:jc w:val="left"/>
      </w:pPr>
      <w:r>
        <w:rPr>
          <w:rFonts w:ascii="Times New Roman" w:hAnsi="Times New Roman" w:eastAsia="宋体"/>
          <w:b/>
          <w:sz w:val="24"/>
        </w:rPr>
        <w:t>3.4.1  模型配置</w:t>
      </w:r>
    </w:p>
    <w:p>
      <w:pPr>
        <w:spacing w:lineRule="auto" w:line="360" w:before="0" w:after="0"/>
        <w:ind w:firstLine="480"/>
        <w:jc w:val="both"/>
      </w:pPr>
      <w:r>
        <w:rPr>
          <w:rFonts w:ascii="Times New Roman" w:hAnsi="Times New Roman" w:eastAsia="宋体"/>
          <w:sz w:val="24"/>
        </w:rPr>
        <w:t>本文使用XGBoost和LightGBM两个梯度提升树模型作为基学习器，主要超参数配置如下：XGBoost：n_estimators=300，max_depth=4，learning_rate=0.05，subsample=0.8，colsample_bytree=0.8，scale_pos_weight=1.91（处理类别不平衡），eval_metric='logloss'，random_state=42。LightGBM：n_estimators=300，max_depth=4，learning_rate=0.05，subsample=0.8，colsample_bytree=0.8，class_weight='balanced'，random_state=42。</w:t>
      </w:r>
    </w:p>
    <w:p>
      <w:pPr>
        <w:spacing w:before="120" w:after="60" w:lineRule="auto" w:line="360"/>
        <w:jc w:val="left"/>
      </w:pPr>
      <w:r>
        <w:rPr>
          <w:rFonts w:ascii="Times New Roman" w:hAnsi="Times New Roman" w:eastAsia="宋体"/>
          <w:b/>
          <w:sz w:val="24"/>
        </w:rPr>
        <w:t>3.4.2  训练策略</w:t>
      </w:r>
    </w:p>
    <w:p>
      <w:pPr>
        <w:spacing w:lineRule="auto" w:line="360" w:before="0" w:after="0"/>
        <w:ind w:firstLine="480"/>
        <w:jc w:val="both"/>
      </w:pPr>
      <w:r>
        <w:rPr>
          <w:rFonts w:ascii="Times New Roman" w:hAnsi="Times New Roman" w:eastAsia="宋体"/>
          <w:sz w:val="24"/>
        </w:rPr>
        <w:t>采用5折分层交叉验证（Stratified K-Fold）的OOF策略，确保每个折叠中致病/良性变异的比例与整体数据集一致。具体步骤如下：（1）将842条变异按标签分层划分为5个折叠；（2）对每个折叠，使用其余4个折叠训练XGBoost和LightGBM模型；（3）在当前折叠上分别获取两个模型的预测概率；（4）将5个折叠的预测结果拼接，得到完整的OOF预测概率；（5）对XGBoost和LightGBM的OOF概率取简单平均，得到集成OOF概率。</w:t>
      </w:r>
    </w:p>
    <w:p>
      <w:pPr>
        <w:spacing w:before="120" w:after="60" w:lineRule="auto" w:line="360"/>
        <w:jc w:val="left"/>
      </w:pPr>
      <w:r>
        <w:rPr>
          <w:rFonts w:ascii="Times New Roman" w:hAnsi="Times New Roman" w:eastAsia="宋体"/>
          <w:b/>
          <w:sz w:val="24"/>
        </w:rPr>
        <w:t>3.4.3  SHAP特征重要性分析</w:t>
      </w:r>
    </w:p>
    <w:p>
      <w:pPr>
        <w:spacing w:lineRule="auto" w:line="360" w:before="0" w:after="0"/>
        <w:ind w:firstLine="480"/>
        <w:jc w:val="both"/>
      </w:pPr>
      <w:r>
        <w:rPr>
          <w:rFonts w:ascii="Times New Roman" w:hAnsi="Times New Roman" w:eastAsia="宋体"/>
          <w:sz w:val="24"/>
        </w:rPr>
        <w:t>为解释模型预测结果，本文在全量数据上训练XGBoost模型，并使用SHAP（SHapley Additive exPlanations）计算每个特征对每条变异预测结果的贡献值。SHAP值基于博弈论中的Shapley值，具有局部精确性、缺失性和一致性等理论保证，是目前最广泛使用的模型解释方法之一。</w:t>
      </w:r>
    </w:p>
    <w:p>
      <w:pPr>
        <w:spacing w:before="240" w:after="120" w:lineRule="auto" w:line="360"/>
        <w:jc w:val="left"/>
      </w:pPr>
      <w:r>
        <w:rPr>
          <w:rFonts w:ascii="Times New Roman" w:hAnsi="Times New Roman" w:eastAsia="黑体"/>
          <w:b/>
          <w:sz w:val="28"/>
        </w:rPr>
        <w:t>3.5  概率校准模块</w:t>
      </w:r>
    </w:p>
    <w:p>
      <w:pPr>
        <w:spacing w:before="120" w:after="60" w:lineRule="auto" w:line="360"/>
        <w:jc w:val="left"/>
      </w:pPr>
      <w:r>
        <w:rPr>
          <w:rFonts w:ascii="Times New Roman" w:hAnsi="Times New Roman" w:eastAsia="宋体"/>
          <w:b/>
          <w:sz w:val="24"/>
        </w:rPr>
        <w:t>3.5.1  校准方法对比实验</w:t>
      </w:r>
    </w:p>
    <w:p>
      <w:pPr>
        <w:spacing w:lineRule="auto" w:line="360" w:before="0" w:after="0"/>
        <w:ind w:firstLine="480"/>
        <w:jc w:val="both"/>
      </w:pPr>
      <w:r>
        <w:rPr>
          <w:rFonts w:ascii="Times New Roman" w:hAnsi="Times New Roman" w:eastAsia="宋体"/>
          <w:sz w:val="24"/>
        </w:rPr>
        <w:t>为选择最优的概率校准方案，本文在5折交叉验证框架下对比了三种方法：未校准（Uncalibrated）、Platt Scaling和Isotonic Regression。实验设计：在每个折叠的OOF预测概率上，分别拟合Platt Scaling和Isotonic Regression校准器，并在同一折叠上评估校准效果（ECE、Brier分数）和判别能力（AUROC）。</w:t>
      </w:r>
    </w:p>
    <w:p>
      <w:pPr>
        <w:spacing w:before="120" w:after="60" w:lineRule="auto" w:line="360"/>
        <w:jc w:val="left"/>
      </w:pPr>
      <w:r>
        <w:rPr>
          <w:rFonts w:ascii="Times New Roman" w:hAnsi="Times New Roman" w:eastAsia="宋体"/>
          <w:b/>
          <w:sz w:val="24"/>
        </w:rPr>
        <w:t>3.5.2  校准方案选择</w:t>
      </w:r>
    </w:p>
    <w:p>
      <w:pPr>
        <w:spacing w:lineRule="auto" w:line="360" w:before="0" w:after="0"/>
        <w:ind w:firstLine="480"/>
        <w:jc w:val="both"/>
      </w:pPr>
      <w:r>
        <w:rPr>
          <w:rFonts w:ascii="Times New Roman" w:hAnsi="Times New Roman" w:eastAsia="宋体"/>
          <w:sz w:val="24"/>
        </w:rPr>
        <w:t>根据5折交叉验证的稳定性分析，选择Platt Scaling作为最终校准方案，原因如下：（1）ECE最低：Platt Scaling的平均ECE为0.0392，低于未校准（0.0481）和Isotonic Regression（0.0432）；（2）AUROC不下降：Platt Scaling校准后AUROC保持0.9811，与未校准相同，说明校准过程未损失判别能力；（3）稳定性更好：Isotonic Regression在小样本折叠上存在过拟合风险，AUROC下降至0.9519，标准差（0.0130）明显高于Platt Scaling（0.0112）。</w:t>
      </w:r>
    </w:p>
    <w:p>
      <w:pPr>
        <w:spacing w:before="120" w:after="60" w:lineRule="auto" w:line="360"/>
        <w:jc w:val="left"/>
      </w:pPr>
      <w:r>
        <w:rPr>
          <w:rFonts w:ascii="Times New Roman" w:hAnsi="Times New Roman" w:eastAsia="宋体"/>
          <w:b/>
          <w:sz w:val="24"/>
        </w:rPr>
        <w:t>3.5.3  最终校准实现</w:t>
      </w:r>
    </w:p>
    <w:p>
      <w:pPr>
        <w:spacing w:lineRule="auto" w:line="360" w:before="0" w:after="0"/>
        <w:ind w:firstLine="480"/>
        <w:jc w:val="both"/>
      </w:pPr>
      <w:r>
        <w:rPr>
          <w:rFonts w:ascii="Times New Roman" w:hAnsi="Times New Roman" w:eastAsia="宋体"/>
          <w:sz w:val="24"/>
        </w:rPr>
        <w:t>在全量OOF预测概率上拟合Platt Scaling校准器（LogisticRegression，C=1.0），得到最终的校准后概率。校准后模型的ECE为0.0257，Brier分数为0.0439，表明模型输出的概率具有良好的统计可靠性。</w:t>
      </w:r>
    </w:p>
    <w:p>
      <w:pPr>
        <w:spacing w:before="240" w:after="120" w:lineRule="auto" w:line="360"/>
        <w:jc w:val="left"/>
      </w:pPr>
      <w:r>
        <w:rPr>
          <w:rFonts w:ascii="Times New Roman" w:hAnsi="Times New Roman" w:eastAsia="黑体"/>
          <w:b/>
          <w:sz w:val="28"/>
        </w:rPr>
        <w:t>3.6  Plan C智能体模块</w:t>
      </w:r>
    </w:p>
    <w:p>
      <w:pPr>
        <w:spacing w:before="120" w:after="60" w:lineRule="auto" w:line="360"/>
        <w:jc w:val="left"/>
      </w:pPr>
      <w:r>
        <w:rPr>
          <w:rFonts w:ascii="Times New Roman" w:hAnsi="Times New Roman" w:eastAsia="宋体"/>
          <w:b/>
          <w:sz w:val="24"/>
        </w:rPr>
        <w:t>3.6.1  模块设计目标</w:t>
      </w:r>
    </w:p>
    <w:p>
      <w:pPr>
        <w:spacing w:lineRule="auto" w:line="360" w:before="0" w:after="0"/>
        <w:ind w:firstLine="480"/>
        <w:jc w:val="both"/>
      </w:pPr>
      <w:r>
        <w:rPr>
          <w:rFonts w:ascii="Times New Roman" w:hAnsi="Times New Roman" w:eastAsia="宋体"/>
          <w:sz w:val="24"/>
        </w:rPr>
        <w:t>Plan C（Planning with Chain-of-thought for Clinical interpretation）模块旨在将SNV-judge的定量预测结果转化为临床医生可直接使用的结构化解读报告。模块的核心设计目标包括：（1）基于ACMG/AMP标准进行规范化证据推理；（2）整合SHAP特征贡献，提供可解释的预测依据；（3）通过CoT推理框架确保推理过程透明可追溯；（4）避免循环论证，所有证据必须来自计算工具的定量输出。</w:t>
      </w:r>
    </w:p>
    <w:p>
      <w:pPr>
        <w:spacing w:before="120" w:after="60" w:lineRule="auto" w:line="360"/>
        <w:jc w:val="left"/>
      </w:pPr>
      <w:r>
        <w:rPr>
          <w:rFonts w:ascii="Times New Roman" w:hAnsi="Times New Roman" w:eastAsia="宋体"/>
          <w:b/>
          <w:sz w:val="24"/>
        </w:rPr>
        <w:t>3.6.2  ACMG证据映射规则</w:t>
      </w:r>
    </w:p>
    <w:p>
      <w:pPr>
        <w:spacing w:lineRule="auto" w:line="360" w:before="0" w:after="0"/>
        <w:ind w:firstLine="480"/>
        <w:jc w:val="both"/>
      </w:pPr>
      <w:r>
        <w:rPr>
          <w:rFonts w:ascii="Times New Roman" w:hAnsi="Times New Roman" w:eastAsia="宋体"/>
          <w:sz w:val="24"/>
        </w:rPr>
        <w:t>本文设计了8条ACMG证据映射规则，将特征值自动映射为对应的ACMG证据条目：（1）BA1：gnomAD AF &gt; 5%，触发良性强证据；（2）PM2：gnomAD AF = 0 且 SNV-judge概率 ≥ 30%，触发致病中等证据；（3）PM2_weak：gnomAD AF = 0 但 SNV-judge概率 &lt; 30%，标注为中性说明（避免良性变异误触发PM2）；（4）PM2_supporting：gnomAD AF &lt; 0.01%，触发致病支持证据；（5）PP3：AlphaMissense ≥ 0.564 且 CADD ≥ 20 且 REVEL ≥ 0.5（至少3个工具预测有害），触发致病支持证据；（6）BP4：AlphaMissense &lt; 0.340 且 CADD &lt; 20 且 REVEL &lt; 0.5 且 PolyPhen-2 &lt; 0.15（至少3个工具预测良性），触发良性支持证据；（7）PP3_cons：phyloP ≥ 2.0，触发致病支持证据（高度保守位点）；（8）BP4_cons：phyloP &lt; -1.0，触发良性支持证据（进化上不保守）；（9）PP3_fm：Genos-10B ≥ 0.8，触发致病支持证据（基础模型支持）；（10）BP4_fm：Genos-10B &lt; 0.2，触发良性支持证据（基础模型支持）。</w:t>
      </w:r>
    </w:p>
    <w:p>
      <w:pPr>
        <w:spacing w:before="120" w:after="60" w:lineRule="auto" w:line="360"/>
        <w:jc w:val="left"/>
      </w:pPr>
      <w:r>
        <w:rPr>
          <w:rFonts w:ascii="Times New Roman" w:hAnsi="Times New Roman" w:eastAsia="宋体"/>
          <w:b/>
          <w:sz w:val="24"/>
        </w:rPr>
        <w:t>3.6.3  报告生成流程</w:t>
      </w:r>
    </w:p>
    <w:p>
      <w:pPr>
        <w:spacing w:lineRule="auto" w:line="360" w:before="0" w:after="0"/>
        <w:ind w:firstLine="480"/>
        <w:jc w:val="both"/>
      </w:pPr>
      <w:r>
        <w:rPr>
          <w:rFonts w:ascii="Times New Roman" w:hAnsi="Times New Roman" w:eastAsia="宋体"/>
          <w:sz w:val="24"/>
        </w:rPr>
        <w:t>Plan C模块的完整工作流程如下：（1）特征向量构建：将输入变异的原始特征值转换为模型输入格式（含gnomAD AF的log10变换）；（2）概率预测：调用XGBoost模型预测原始概率，经Platt Scaling校准得到最终致病性概率；（3）SHAP计算：调用TreeExplainer计算每个特征对当前变异预测结果的SHAP贡献值；（4）ACMG证据映射：根据特征值和SNV-judge概率，自动触发对应的ACMG证据条目；（5）Kimi API调用：将变异信息、特征值、ACMG证据和SHAP贡献整合为结构化提示，调用moonshot-v1-32k模型生成六部分临床解读报告；（6）报告保存：将生成的Markdown格式报告保存为文件，供临床医生审阅。</w:t>
      </w:r>
    </w:p>
    <w:p>
      <w:r>
        <w:br w:type="page"/>
      </w:r>
    </w:p>
    <w:p>
      <w:pPr>
        <w:spacing w:before="360" w:after="240" w:lineRule="auto" w:line="360"/>
        <w:jc w:val="center"/>
      </w:pPr>
      <w:r>
        <w:rPr>
          <w:rFonts w:ascii="Times New Roman" w:hAnsi="Times New Roman" w:eastAsia="黑体"/>
          <w:b/>
          <w:sz w:val="32"/>
        </w:rPr>
        <w:t>第四章  实验结果与分析</w:t>
      </w:r>
    </w:p>
    <w:p>
      <w:pPr>
        <w:spacing w:before="240" w:after="120" w:lineRule="auto" w:line="360"/>
        <w:jc w:val="left"/>
      </w:pPr>
      <w:r>
        <w:rPr>
          <w:rFonts w:ascii="Times New Roman" w:hAnsi="Times New Roman" w:eastAsia="黑体"/>
          <w:b/>
          <w:sz w:val="28"/>
        </w:rPr>
        <w:t>4.1  实验设置</w:t>
      </w:r>
    </w:p>
    <w:p>
      <w:pPr>
        <w:spacing w:before="120" w:after="60" w:lineRule="auto" w:line="360"/>
        <w:jc w:val="left"/>
      </w:pPr>
      <w:r>
        <w:rPr>
          <w:rFonts w:ascii="Times New Roman" w:hAnsi="Times New Roman" w:eastAsia="宋体"/>
          <w:b/>
          <w:sz w:val="24"/>
        </w:rPr>
        <w:t>4.1.1  实验环境</w:t>
      </w:r>
    </w:p>
    <w:p>
      <w:pPr>
        <w:spacing w:lineRule="auto" w:line="360" w:before="0" w:after="0"/>
        <w:ind w:firstLine="480"/>
        <w:jc w:val="both"/>
      </w:pPr>
      <w:r>
        <w:rPr>
          <w:rFonts w:ascii="Times New Roman" w:hAnsi="Times New Roman" w:eastAsia="宋体"/>
          <w:sz w:val="24"/>
        </w:rPr>
        <w:t>本文实验在以下环境中进行：操作系统为Linux（Ubuntu 22.04），Python版本为3.11，主要依赖库包括XGBoost 2.0、LightGBM 4.0、scikit-learn 1.3、SHAP 0.44、pandas 2.0和numpy 1.24。特征获取通过Genos API（华大智造DCS Cloud平台）和Ensembl REST API（https://rest.ensembl.org）实现。Plan C模块通过Moonshot AI的OpenAI兼容API（moonshot-v1-32k模型）实现。</w:t>
      </w:r>
    </w:p>
    <w:p>
      <w:pPr>
        <w:spacing w:before="120" w:after="60" w:lineRule="auto" w:line="360"/>
        <w:jc w:val="left"/>
      </w:pPr>
      <w:r>
        <w:rPr>
          <w:rFonts w:ascii="Times New Roman" w:hAnsi="Times New Roman" w:eastAsia="宋体"/>
          <w:b/>
          <w:sz w:val="24"/>
        </w:rPr>
        <w:t>4.1.2  评估方案</w:t>
      </w:r>
    </w:p>
    <w:p>
      <w:pPr>
        <w:spacing w:lineRule="auto" w:line="360" w:before="0" w:after="0"/>
        <w:ind w:firstLine="480"/>
        <w:jc w:val="both"/>
      </w:pPr>
      <w:r>
        <w:rPr>
          <w:rFonts w:ascii="Times New Roman" w:hAnsi="Times New Roman" w:eastAsia="宋体"/>
          <w:sz w:val="24"/>
        </w:rPr>
        <w:t>本文采用5折分层交叉验证的OOF策略进行模型评估，确保评估结果的无偏性。具体评估指标包括AUROC、AUPRC、F1分数（阈值0.5）、Brier分数和ECE（10个区间）。对于AUROC，额外通过1000次Bootstrap重采样计算95%置信区间。</w:t>
      </w:r>
    </w:p>
    <w:p>
      <w:pPr>
        <w:spacing w:before="120" w:after="60" w:lineRule="auto" w:line="360"/>
        <w:jc w:val="left"/>
      </w:pPr>
      <w:r>
        <w:rPr>
          <w:rFonts w:ascii="Times New Roman" w:hAnsi="Times New Roman" w:eastAsia="宋体"/>
          <w:b/>
          <w:sz w:val="24"/>
        </w:rPr>
        <w:t>4.1.3  基线方法</w:t>
      </w:r>
    </w:p>
    <w:p>
      <w:pPr>
        <w:spacing w:lineRule="auto" w:line="360" w:before="0" w:after="0"/>
        <w:ind w:firstLine="480"/>
        <w:jc w:val="both"/>
      </w:pPr>
      <w:r>
        <w:rPr>
          <w:rFonts w:ascii="Times New Roman" w:hAnsi="Times New Roman" w:eastAsia="宋体"/>
          <w:sz w:val="24"/>
        </w:rPr>
        <w:t>为评估SNV-judge的性能提升，本文将以下单特征方法作为基线进行对比：AlphaMissense（直接使用am_pathogenicity评分）、CADD Phred（直接使用cadd_phred评分）、REVEL（直接使用revel评分）、PolyPhen-2（直接使用polyphen_score评分）、SIFT（直接使用sift_score_inv评分）。</w:t>
      </w:r>
    </w:p>
    <w:p>
      <w:pPr>
        <w:spacing w:before="240" w:after="120" w:lineRule="auto" w:line="360"/>
        <w:jc w:val="left"/>
      </w:pPr>
      <w:r>
        <w:rPr>
          <w:rFonts w:ascii="Times New Roman" w:hAnsi="Times New Roman" w:eastAsia="黑体"/>
          <w:b/>
          <w:sz w:val="28"/>
        </w:rPr>
        <w:t>4.2  模型性能评估</w:t>
      </w:r>
    </w:p>
    <w:p>
      <w:pPr>
        <w:spacing w:before="120" w:after="60" w:lineRule="auto" w:line="360"/>
        <w:jc w:val="left"/>
      </w:pPr>
      <w:r>
        <w:rPr>
          <w:rFonts w:ascii="Times New Roman" w:hAnsi="Times New Roman" w:eastAsia="宋体"/>
          <w:b/>
          <w:sz w:val="24"/>
        </w:rPr>
        <w:t>4.2.1  整体性能</w:t>
      </w:r>
    </w:p>
    <w:p>
      <w:pPr>
        <w:spacing w:lineRule="auto" w:line="360" w:before="0" w:after="0"/>
        <w:ind w:firstLine="480"/>
        <w:jc w:val="both"/>
      </w:pPr>
      <w:r>
        <w:rPr>
          <w:rFonts w:ascii="Times New Roman" w:hAnsi="Times New Roman" w:eastAsia="宋体"/>
          <w:sz w:val="24"/>
        </w:rPr>
        <w:t>表4-1列出了SNV-judge与各基线方法在ClinVar BRCA1/2数据集上的性能对比。SNV-judge在5折OOF评估中取得了AUROC=0.9797（95%CI [0.9674, 0.9896]），AUPRC=0.9644，F1=0.9233，Brier=0.0439，ECE=0.0257的综合性能。</w:t>
      </w:r>
    </w:p>
    <w:p>
      <w:pPr>
        <w:spacing w:lineRule="auto" w:line="360" w:before="0" w:after="0"/>
        <w:ind w:firstLine="480"/>
        <w:jc w:val="both"/>
      </w:pPr>
      <w:r>
        <w:rPr>
          <w:rFonts w:ascii="Times New Roman" w:hAnsi="Times New Roman" w:eastAsia="宋体"/>
          <w:sz w:val="24"/>
        </w:rPr>
        <w:t>与最强基线AlphaMissense（AUROC=0.9738）相比，SNV-judge的AUROC提升了0.0059，AUPRC从0.9656略降至0.9644（差异在置信区间内）。与CADD Phred（AUROC=0.9274）相比，提升幅度达0.0523。与PolyPhen-2（AUROC=0.5795）相比，提升幅度高达0.4002，说明单一工具在某些情况下性能极不稳定，而集成方法能够有效规避单一工具的局限性。</w:t>
      </w:r>
    </w:p>
    <w:p>
      <w:pPr>
        <w:spacing w:before="60" w:after="120" w:lineRule="auto" w:line="360"/>
        <w:jc w:val="center"/>
      </w:pPr>
      <w:r>
        <w:rPr>
          <w:rFonts w:ascii="Times New Roman" w:hAnsi="Times New Roman" w:eastAsia="宋体"/>
          <w:sz w:val="18"/>
        </w:rPr>
        <w:t>表4-1  SNV-judge与基线方法性能对比</w:t>
      </w:r>
    </w:p>
    <w:tbl>
      <w:tblPr>
        <w:tblStyle w:val="TableGrid"/>
        <w:tblW w:type="auto" w:w="0"/>
        <w:tblLook w:firstColumn="1" w:firstRow="1" w:lastColumn="0" w:lastRow="0" w:noHBand="0" w:noVBand="1" w:val="04A0"/>
      </w:tblPr>
      <w:tblGrid>
        <w:gridCol w:w="3118"/>
        <w:gridCol w:w="3118"/>
        <w:gridCol w:w="3118"/>
      </w:tblGrid>
      <w:tr>
        <w:tc>
          <w:tcPr>
            <w:tcW w:type="dxa" w:w="3118"/>
          </w:tcPr>
          <w:p>
            <w:pPr>
              <w:jc w:val="center"/>
            </w:pPr>
            <w:r>
              <w:rPr>
                <w:rFonts w:ascii="Times New Roman" w:hAnsi="Times New Roman" w:eastAsia="宋体"/>
                <w:b/>
                <w:sz w:val="21"/>
              </w:rPr>
              <w:t>方法</w:t>
            </w:r>
          </w:p>
        </w:tc>
        <w:tc>
          <w:tcPr>
            <w:tcW w:type="dxa" w:w="3118"/>
          </w:tcPr>
          <w:p>
            <w:pPr>
              <w:jc w:val="center"/>
            </w:pPr>
            <w:r>
              <w:rPr>
                <w:rFonts w:ascii="Times New Roman" w:hAnsi="Times New Roman" w:eastAsia="宋体"/>
                <w:b/>
                <w:sz w:val="21"/>
              </w:rPr>
              <w:t>AUROC</w:t>
            </w:r>
          </w:p>
        </w:tc>
        <w:tc>
          <w:tcPr>
            <w:tcW w:type="dxa" w:w="3118"/>
          </w:tcPr>
          <w:p>
            <w:pPr>
              <w:jc w:val="center"/>
            </w:pPr>
            <w:r>
              <w:rPr>
                <w:rFonts w:ascii="Times New Roman" w:hAnsi="Times New Roman" w:eastAsia="宋体"/>
                <w:b/>
                <w:sz w:val="21"/>
              </w:rPr>
              <w:t>AUPRC</w:t>
            </w:r>
          </w:p>
        </w:tc>
      </w:tr>
      <w:tr>
        <w:tc>
          <w:tcPr>
            <w:tcW w:type="dxa" w:w="3118"/>
          </w:tcPr>
          <w:p>
            <w:pPr>
              <w:jc w:val="center"/>
            </w:pPr>
            <w:r>
              <w:rPr>
                <w:rFonts w:ascii="Times New Roman" w:hAnsi="Times New Roman" w:eastAsia="宋体"/>
                <w:sz w:val="21"/>
              </w:rPr>
              <w:t>SNV-judge（本文）</w:t>
            </w:r>
          </w:p>
        </w:tc>
        <w:tc>
          <w:tcPr>
            <w:tcW w:type="dxa" w:w="3118"/>
          </w:tcPr>
          <w:p>
            <w:pPr>
              <w:jc w:val="center"/>
            </w:pPr>
            <w:r>
              <w:rPr>
                <w:rFonts w:ascii="Times New Roman" w:hAnsi="Times New Roman" w:eastAsia="宋体"/>
                <w:sz w:val="21"/>
              </w:rPr>
              <w:t>0.9797</w:t>
            </w:r>
          </w:p>
        </w:tc>
        <w:tc>
          <w:tcPr>
            <w:tcW w:type="dxa" w:w="3118"/>
          </w:tcPr>
          <w:p>
            <w:pPr>
              <w:jc w:val="center"/>
            </w:pPr>
            <w:r>
              <w:rPr>
                <w:rFonts w:ascii="Times New Roman" w:hAnsi="Times New Roman" w:eastAsia="宋体"/>
                <w:sz w:val="21"/>
              </w:rPr>
              <w:t>0.9644</w:t>
            </w:r>
          </w:p>
        </w:tc>
      </w:tr>
      <w:tr>
        <w:tc>
          <w:tcPr>
            <w:tcW w:type="dxa" w:w="3118"/>
          </w:tcPr>
          <w:p>
            <w:pPr>
              <w:jc w:val="center"/>
            </w:pPr>
            <w:r>
              <w:rPr>
                <w:rFonts w:ascii="Times New Roman" w:hAnsi="Times New Roman" w:eastAsia="宋体"/>
                <w:sz w:val="21"/>
              </w:rPr>
              <w:t>AlphaMissense</w:t>
            </w:r>
          </w:p>
        </w:tc>
        <w:tc>
          <w:tcPr>
            <w:tcW w:type="dxa" w:w="3118"/>
          </w:tcPr>
          <w:p>
            <w:pPr>
              <w:jc w:val="center"/>
            </w:pPr>
            <w:r>
              <w:rPr>
                <w:rFonts w:ascii="Times New Roman" w:hAnsi="Times New Roman" w:eastAsia="宋体"/>
                <w:sz w:val="21"/>
              </w:rPr>
              <w:t>0.9738</w:t>
            </w:r>
          </w:p>
        </w:tc>
        <w:tc>
          <w:tcPr>
            <w:tcW w:type="dxa" w:w="3118"/>
          </w:tcPr>
          <w:p>
            <w:pPr>
              <w:jc w:val="center"/>
            </w:pPr>
            <w:r>
              <w:rPr>
                <w:rFonts w:ascii="Times New Roman" w:hAnsi="Times New Roman" w:eastAsia="宋体"/>
                <w:sz w:val="21"/>
              </w:rPr>
              <w:t>0.9656</w:t>
            </w:r>
          </w:p>
        </w:tc>
      </w:tr>
      <w:tr>
        <w:tc>
          <w:tcPr>
            <w:tcW w:type="dxa" w:w="3118"/>
          </w:tcPr>
          <w:p>
            <w:pPr>
              <w:jc w:val="center"/>
            </w:pPr>
            <w:r>
              <w:rPr>
                <w:rFonts w:ascii="Times New Roman" w:hAnsi="Times New Roman" w:eastAsia="宋体"/>
                <w:sz w:val="21"/>
              </w:rPr>
              <w:t>REVEL</w:t>
            </w:r>
          </w:p>
        </w:tc>
        <w:tc>
          <w:tcPr>
            <w:tcW w:type="dxa" w:w="3118"/>
          </w:tcPr>
          <w:p>
            <w:pPr>
              <w:jc w:val="center"/>
            </w:pPr>
            <w:r>
              <w:rPr>
                <w:rFonts w:ascii="Times New Roman" w:hAnsi="Times New Roman" w:eastAsia="宋体"/>
                <w:sz w:val="21"/>
              </w:rPr>
              <w:t>0.9622</w:t>
            </w:r>
          </w:p>
        </w:tc>
        <w:tc>
          <w:tcPr>
            <w:tcW w:type="dxa" w:w="3118"/>
          </w:tcPr>
          <w:p>
            <w:pPr>
              <w:jc w:val="center"/>
            </w:pPr>
            <w:r>
              <w:rPr>
                <w:rFonts w:ascii="Times New Roman" w:hAnsi="Times New Roman" w:eastAsia="宋体"/>
                <w:sz w:val="21"/>
              </w:rPr>
              <w:t>0.9476</w:t>
            </w:r>
          </w:p>
        </w:tc>
      </w:tr>
      <w:tr>
        <w:tc>
          <w:tcPr>
            <w:tcW w:type="dxa" w:w="3118"/>
          </w:tcPr>
          <w:p>
            <w:pPr>
              <w:jc w:val="center"/>
            </w:pPr>
            <w:r>
              <w:rPr>
                <w:rFonts w:ascii="Times New Roman" w:hAnsi="Times New Roman" w:eastAsia="宋体"/>
                <w:sz w:val="21"/>
              </w:rPr>
              <w:t>CADD Phred</w:t>
            </w:r>
          </w:p>
        </w:tc>
        <w:tc>
          <w:tcPr>
            <w:tcW w:type="dxa" w:w="3118"/>
          </w:tcPr>
          <w:p>
            <w:pPr>
              <w:jc w:val="center"/>
            </w:pPr>
            <w:r>
              <w:rPr>
                <w:rFonts w:ascii="Times New Roman" w:hAnsi="Times New Roman" w:eastAsia="宋体"/>
                <w:sz w:val="21"/>
              </w:rPr>
              <w:t>0.9274</w:t>
            </w:r>
          </w:p>
        </w:tc>
        <w:tc>
          <w:tcPr>
            <w:tcW w:type="dxa" w:w="3118"/>
          </w:tcPr>
          <w:p>
            <w:pPr>
              <w:jc w:val="center"/>
            </w:pPr>
            <w:r>
              <w:rPr>
                <w:rFonts w:ascii="Times New Roman" w:hAnsi="Times New Roman" w:eastAsia="宋体"/>
                <w:sz w:val="21"/>
              </w:rPr>
              <w:t>0.8605</w:t>
            </w:r>
          </w:p>
        </w:tc>
      </w:tr>
      <w:tr>
        <w:tc>
          <w:tcPr>
            <w:tcW w:type="dxa" w:w="3118"/>
          </w:tcPr>
          <w:p>
            <w:pPr>
              <w:jc w:val="center"/>
            </w:pPr>
            <w:r>
              <w:rPr>
                <w:rFonts w:ascii="Times New Roman" w:hAnsi="Times New Roman" w:eastAsia="宋体"/>
                <w:sz w:val="21"/>
              </w:rPr>
              <w:t>SIFT</w:t>
            </w:r>
          </w:p>
        </w:tc>
        <w:tc>
          <w:tcPr>
            <w:tcW w:type="dxa" w:w="3118"/>
          </w:tcPr>
          <w:p>
            <w:pPr>
              <w:jc w:val="center"/>
            </w:pPr>
            <w:r>
              <w:rPr>
                <w:rFonts w:ascii="Times New Roman" w:hAnsi="Times New Roman" w:eastAsia="宋体"/>
                <w:sz w:val="21"/>
              </w:rPr>
              <w:t>0.8481</w:t>
            </w:r>
          </w:p>
        </w:tc>
        <w:tc>
          <w:tcPr>
            <w:tcW w:type="dxa" w:w="3118"/>
          </w:tcPr>
          <w:p>
            <w:pPr>
              <w:jc w:val="center"/>
            </w:pPr>
            <w:r>
              <w:rPr>
                <w:rFonts w:ascii="Times New Roman" w:hAnsi="Times New Roman" w:eastAsia="宋体"/>
                <w:sz w:val="21"/>
              </w:rPr>
              <w:t>0.6594</w:t>
            </w:r>
          </w:p>
        </w:tc>
      </w:tr>
      <w:tr>
        <w:tc>
          <w:tcPr>
            <w:tcW w:type="dxa" w:w="3118"/>
          </w:tcPr>
          <w:p>
            <w:pPr>
              <w:jc w:val="center"/>
            </w:pPr>
            <w:r>
              <w:rPr>
                <w:rFonts w:ascii="Times New Roman" w:hAnsi="Times New Roman" w:eastAsia="宋体"/>
                <w:sz w:val="21"/>
              </w:rPr>
              <w:t>PolyPhen-2</w:t>
            </w:r>
          </w:p>
        </w:tc>
        <w:tc>
          <w:tcPr>
            <w:tcW w:type="dxa" w:w="3118"/>
          </w:tcPr>
          <w:p>
            <w:pPr>
              <w:jc w:val="center"/>
            </w:pPr>
            <w:r>
              <w:rPr>
                <w:rFonts w:ascii="Times New Roman" w:hAnsi="Times New Roman" w:eastAsia="宋体"/>
                <w:sz w:val="21"/>
              </w:rPr>
              <w:t>0.5795</w:t>
            </w:r>
          </w:p>
        </w:tc>
        <w:tc>
          <w:tcPr>
            <w:tcW w:type="dxa" w:w="3118"/>
          </w:tcPr>
          <w:p>
            <w:pPr>
              <w:jc w:val="center"/>
            </w:pPr>
            <w:r>
              <w:rPr>
                <w:rFonts w:ascii="Times New Roman" w:hAnsi="Times New Roman" w:eastAsia="宋体"/>
                <w:sz w:val="21"/>
              </w:rPr>
              <w:t>0.4453</w:t>
            </w:r>
          </w:p>
        </w:tc>
      </w:tr>
    </w:tbl>
    <w:p>
      <w:pPr>
        <w:spacing w:before="120" w:after="60" w:lineRule="auto" w:line="360"/>
        <w:jc w:val="left"/>
      </w:pPr>
      <w:r>
        <w:rPr>
          <w:rFonts w:ascii="Times New Roman" w:hAnsi="Times New Roman" w:eastAsia="宋体"/>
          <w:b/>
          <w:sz w:val="24"/>
        </w:rPr>
        <w:t>4.2.2  ROC曲线与PR曲线分析</w:t>
      </w:r>
    </w:p>
    <w:p>
      <w:pPr>
        <w:spacing w:lineRule="auto" w:line="360" w:before="0" w:after="0"/>
        <w:ind w:firstLine="480"/>
        <w:jc w:val="both"/>
      </w:pPr>
      <w:r>
        <w:rPr>
          <w:rFonts w:ascii="Times New Roman" w:hAnsi="Times New Roman" w:eastAsia="宋体"/>
          <w:sz w:val="24"/>
        </w:rPr>
        <w:t>图4-1展示了SNV-judge与各基线方法的ROC曲线和精确率-召回率曲线对比。SNV-judge的ROC曲线在整个假阳性率范围内均位于所有基线方法之上，尤其在低假阳性率区间（FPR &lt; 0.1）表现出明显优势，这对于临床应用中减少误诊具有重要意义。SNV-judge的PR曲线在高召回率区间（Recall &gt; 0.8）相比AlphaMissense具有更高的精确率，说明集成方法在识别大多数致病变异的同时，能够更好地控制假阳性率。</w:t>
      </w:r>
    </w:p>
    <w:p>
      <w:pPr>
        <w:jc w:val="center"/>
      </w:pPr>
      <w:r>
        <w:drawing>
          <wp:inline xmlns:a="http://schemas.openxmlformats.org/drawingml/2006/main" xmlns:pic="http://schemas.openxmlformats.org/drawingml/2006/picture">
            <wp:extent cx="5029200" cy="2335166"/>
            <wp:docPr id="1" name="Picture 1"/>
            <wp:cNvGraphicFramePr>
              <a:graphicFrameLocks noChangeAspect="1"/>
            </wp:cNvGraphicFramePr>
            <a:graphic>
              <a:graphicData uri="http://schemas.openxmlformats.org/drawingml/2006/picture">
                <pic:pic>
                  <pic:nvPicPr>
                    <pic:cNvPr id="0" name="fig_roc_pr_final.png"/>
                    <pic:cNvPicPr/>
                  </pic:nvPicPr>
                  <pic:blipFill>
                    <a:blip r:embed="rId10"/>
                    <a:stretch>
                      <a:fillRect/>
                    </a:stretch>
                  </pic:blipFill>
                  <pic:spPr>
                    <a:xfrm>
                      <a:off x="0" y="0"/>
                      <a:ext cx="5029200" cy="2335166"/>
                    </a:xfrm>
                    <a:prstGeom prst="rect"/>
                  </pic:spPr>
                </pic:pic>
              </a:graphicData>
            </a:graphic>
          </wp:inline>
        </w:drawing>
      </w:r>
    </w:p>
    <w:p>
      <w:pPr>
        <w:spacing w:before="60" w:after="120" w:lineRule="auto" w:line="360"/>
        <w:jc w:val="center"/>
      </w:pPr>
      <w:r>
        <w:rPr>
          <w:rFonts w:ascii="Times New Roman" w:hAnsi="Times New Roman" w:eastAsia="宋体"/>
          <w:sz w:val="18"/>
        </w:rPr>
        <w:t>图4-1  ROC曲线（左）与精确率-召回率曲线（右）对比</w:t>
      </w:r>
    </w:p>
    <w:p>
      <w:pPr>
        <w:spacing w:before="240" w:after="120" w:lineRule="auto" w:line="360"/>
        <w:jc w:val="left"/>
      </w:pPr>
      <w:r>
        <w:rPr>
          <w:rFonts w:ascii="Times New Roman" w:hAnsi="Times New Roman" w:eastAsia="黑体"/>
          <w:b/>
          <w:sz w:val="28"/>
        </w:rPr>
        <w:t>4.3  消融实验分析</w:t>
      </w:r>
    </w:p>
    <w:p>
      <w:pPr>
        <w:spacing w:before="120" w:after="60" w:lineRule="auto" w:line="360"/>
        <w:jc w:val="left"/>
      </w:pPr>
      <w:r>
        <w:rPr>
          <w:rFonts w:ascii="Times New Roman" w:hAnsi="Times New Roman" w:eastAsia="宋体"/>
          <w:b/>
          <w:sz w:val="24"/>
        </w:rPr>
        <w:t>4.3.1  逐特征消融实验</w:t>
      </w:r>
    </w:p>
    <w:p>
      <w:pPr>
        <w:spacing w:lineRule="auto" w:line="360" w:before="0" w:after="0"/>
        <w:ind w:firstLine="480"/>
        <w:jc w:val="both"/>
      </w:pPr>
      <w:r>
        <w:rPr>
          <w:rFonts w:ascii="Times New Roman" w:hAnsi="Times New Roman" w:eastAsia="宋体"/>
          <w:sz w:val="24"/>
        </w:rPr>
        <w:t>为定量评估每个特征对模型性能的贡献，本文进行了逐特征消融实验：每次移除一个特征，重新训练5折OOF模型，计算AUROC变化量（ΔAUROC = 完整模型AUROC - 移除该特征后的AUROC）。ΔAUROC为正值表示该特征对模型有正贡献，为负值表示该特征引入了噪声。表4-2列出了各特征的消融实验结果。</w:t>
      </w:r>
    </w:p>
    <w:p>
      <w:pPr>
        <w:spacing w:before="60" w:after="120" w:lineRule="auto" w:line="360"/>
        <w:jc w:val="center"/>
      </w:pPr>
      <w:r>
        <w:rPr>
          <w:rFonts w:ascii="Times New Roman" w:hAnsi="Times New Roman" w:eastAsia="宋体"/>
          <w:sz w:val="18"/>
        </w:rPr>
        <w:t>表4-2  逐特征消融实验结果</w:t>
      </w:r>
    </w:p>
    <w:tbl>
      <w:tblPr>
        <w:tblStyle w:val="TableGrid"/>
        <w:tblW w:type="auto" w:w="0"/>
        <w:tblLook w:firstColumn="1" w:firstRow="1" w:lastColumn="0" w:lastRow="0" w:noHBand="0" w:noVBand="1" w:val="04A0"/>
      </w:tblPr>
      <w:tblGrid>
        <w:gridCol w:w="3118"/>
        <w:gridCol w:w="3118"/>
        <w:gridCol w:w="3118"/>
      </w:tblGrid>
      <w:tr>
        <w:tc>
          <w:tcPr>
            <w:tcW w:type="dxa" w:w="3118"/>
          </w:tcPr>
          <w:p>
            <w:pPr>
              <w:jc w:val="center"/>
            </w:pPr>
            <w:r>
              <w:rPr>
                <w:rFonts w:ascii="Times New Roman" w:hAnsi="Times New Roman" w:eastAsia="宋体"/>
                <w:b/>
                <w:sz w:val="21"/>
              </w:rPr>
              <w:t>特征</w:t>
            </w:r>
          </w:p>
        </w:tc>
        <w:tc>
          <w:tcPr>
            <w:tcW w:type="dxa" w:w="3118"/>
          </w:tcPr>
          <w:p>
            <w:pPr>
              <w:jc w:val="center"/>
            </w:pPr>
            <w:r>
              <w:rPr>
                <w:rFonts w:ascii="Times New Roman" w:hAnsi="Times New Roman" w:eastAsia="宋体"/>
                <w:b/>
                <w:sz w:val="21"/>
              </w:rPr>
              <w:t>移除后AUROC</w:t>
            </w:r>
          </w:p>
        </w:tc>
        <w:tc>
          <w:tcPr>
            <w:tcW w:type="dxa" w:w="3118"/>
          </w:tcPr>
          <w:p>
            <w:pPr>
              <w:jc w:val="center"/>
            </w:pPr>
            <w:r>
              <w:rPr>
                <w:rFonts w:ascii="Times New Roman" w:hAnsi="Times New Roman" w:eastAsia="宋体"/>
                <w:b/>
                <w:sz w:val="21"/>
              </w:rPr>
              <w:t>ΔAUROC</w:t>
            </w:r>
          </w:p>
        </w:tc>
      </w:tr>
      <w:tr>
        <w:tc>
          <w:tcPr>
            <w:tcW w:type="dxa" w:w="3118"/>
          </w:tcPr>
          <w:p>
            <w:pPr>
              <w:jc w:val="center"/>
            </w:pPr>
            <w:r>
              <w:rPr>
                <w:rFonts w:ascii="Times New Roman" w:hAnsi="Times New Roman" w:eastAsia="宋体"/>
                <w:sz w:val="21"/>
              </w:rPr>
              <w:t>AlphaMissense</w:t>
            </w:r>
          </w:p>
        </w:tc>
        <w:tc>
          <w:tcPr>
            <w:tcW w:type="dxa" w:w="3118"/>
          </w:tcPr>
          <w:p>
            <w:pPr>
              <w:jc w:val="center"/>
            </w:pPr>
            <w:r>
              <w:rPr>
                <w:rFonts w:ascii="Times New Roman" w:hAnsi="Times New Roman" w:eastAsia="宋体"/>
                <w:sz w:val="21"/>
              </w:rPr>
              <w:t>0.9695</w:t>
            </w:r>
          </w:p>
        </w:tc>
        <w:tc>
          <w:tcPr>
            <w:tcW w:type="dxa" w:w="3118"/>
          </w:tcPr>
          <w:p>
            <w:pPr>
              <w:jc w:val="center"/>
            </w:pPr>
            <w:r>
              <w:rPr>
                <w:rFonts w:ascii="Times New Roman" w:hAnsi="Times New Roman" w:eastAsia="宋体"/>
                <w:sz w:val="21"/>
              </w:rPr>
              <w:t>+0.0102</w:t>
            </w:r>
          </w:p>
        </w:tc>
      </w:tr>
      <w:tr>
        <w:tc>
          <w:tcPr>
            <w:tcW w:type="dxa" w:w="3118"/>
          </w:tcPr>
          <w:p>
            <w:pPr>
              <w:jc w:val="center"/>
            </w:pPr>
            <w:r>
              <w:rPr>
                <w:rFonts w:ascii="Times New Roman" w:hAnsi="Times New Roman" w:eastAsia="宋体"/>
                <w:sz w:val="21"/>
              </w:rPr>
              <w:t>CADD Phred</w:t>
            </w:r>
          </w:p>
        </w:tc>
        <w:tc>
          <w:tcPr>
            <w:tcW w:type="dxa" w:w="3118"/>
          </w:tcPr>
          <w:p>
            <w:pPr>
              <w:jc w:val="center"/>
            </w:pPr>
            <w:r>
              <w:rPr>
                <w:rFonts w:ascii="Times New Roman" w:hAnsi="Times New Roman" w:eastAsia="宋体"/>
                <w:sz w:val="21"/>
              </w:rPr>
              <w:t>0.9740</w:t>
            </w:r>
          </w:p>
        </w:tc>
        <w:tc>
          <w:tcPr>
            <w:tcW w:type="dxa" w:w="3118"/>
          </w:tcPr>
          <w:p>
            <w:pPr>
              <w:jc w:val="center"/>
            </w:pPr>
            <w:r>
              <w:rPr>
                <w:rFonts w:ascii="Times New Roman" w:hAnsi="Times New Roman" w:eastAsia="宋体"/>
                <w:sz w:val="21"/>
              </w:rPr>
              <w:t>+0.0057</w:t>
            </w:r>
          </w:p>
        </w:tc>
      </w:tr>
      <w:tr>
        <w:tc>
          <w:tcPr>
            <w:tcW w:type="dxa" w:w="3118"/>
          </w:tcPr>
          <w:p>
            <w:pPr>
              <w:jc w:val="center"/>
            </w:pPr>
            <w:r>
              <w:rPr>
                <w:rFonts w:ascii="Times New Roman" w:hAnsi="Times New Roman" w:eastAsia="宋体"/>
                <w:sz w:val="21"/>
              </w:rPr>
              <w:t>REVEL</w:t>
            </w:r>
          </w:p>
        </w:tc>
        <w:tc>
          <w:tcPr>
            <w:tcW w:type="dxa" w:w="3118"/>
          </w:tcPr>
          <w:p>
            <w:pPr>
              <w:jc w:val="center"/>
            </w:pPr>
            <w:r>
              <w:rPr>
                <w:rFonts w:ascii="Times New Roman" w:hAnsi="Times New Roman" w:eastAsia="宋体"/>
                <w:sz w:val="21"/>
              </w:rPr>
              <w:t>0.9780</w:t>
            </w:r>
          </w:p>
        </w:tc>
        <w:tc>
          <w:tcPr>
            <w:tcW w:type="dxa" w:w="3118"/>
          </w:tcPr>
          <w:p>
            <w:pPr>
              <w:jc w:val="center"/>
            </w:pPr>
            <w:r>
              <w:rPr>
                <w:rFonts w:ascii="Times New Roman" w:hAnsi="Times New Roman" w:eastAsia="宋体"/>
                <w:sz w:val="21"/>
              </w:rPr>
              <w:t>+0.0017</w:t>
            </w:r>
          </w:p>
        </w:tc>
      </w:tr>
      <w:tr>
        <w:tc>
          <w:tcPr>
            <w:tcW w:type="dxa" w:w="3118"/>
          </w:tcPr>
          <w:p>
            <w:pPr>
              <w:jc w:val="center"/>
            </w:pPr>
            <w:r>
              <w:rPr>
                <w:rFonts w:ascii="Times New Roman" w:hAnsi="Times New Roman" w:eastAsia="宋体"/>
                <w:sz w:val="21"/>
              </w:rPr>
              <w:t>PolyPhen-2</w:t>
            </w:r>
          </w:p>
        </w:tc>
        <w:tc>
          <w:tcPr>
            <w:tcW w:type="dxa" w:w="3118"/>
          </w:tcPr>
          <w:p>
            <w:pPr>
              <w:jc w:val="center"/>
            </w:pPr>
            <w:r>
              <w:rPr>
                <w:rFonts w:ascii="Times New Roman" w:hAnsi="Times New Roman" w:eastAsia="宋体"/>
                <w:sz w:val="21"/>
              </w:rPr>
              <w:t>0.9783</w:t>
            </w:r>
          </w:p>
        </w:tc>
        <w:tc>
          <w:tcPr>
            <w:tcW w:type="dxa" w:w="3118"/>
          </w:tcPr>
          <w:p>
            <w:pPr>
              <w:jc w:val="center"/>
            </w:pPr>
            <w:r>
              <w:rPr>
                <w:rFonts w:ascii="Times New Roman" w:hAnsi="Times New Roman" w:eastAsia="宋体"/>
                <w:sz w:val="21"/>
              </w:rPr>
              <w:t>+0.0014</w:t>
            </w:r>
          </w:p>
        </w:tc>
      </w:tr>
      <w:tr>
        <w:tc>
          <w:tcPr>
            <w:tcW w:type="dxa" w:w="3118"/>
          </w:tcPr>
          <w:p>
            <w:pPr>
              <w:jc w:val="center"/>
            </w:pPr>
            <w:r>
              <w:rPr>
                <w:rFonts w:ascii="Times New Roman" w:hAnsi="Times New Roman" w:eastAsia="宋体"/>
                <w:sz w:val="21"/>
              </w:rPr>
              <w:t>SIFT</w:t>
            </w:r>
          </w:p>
        </w:tc>
        <w:tc>
          <w:tcPr>
            <w:tcW w:type="dxa" w:w="3118"/>
          </w:tcPr>
          <w:p>
            <w:pPr>
              <w:jc w:val="center"/>
            </w:pPr>
            <w:r>
              <w:rPr>
                <w:rFonts w:ascii="Times New Roman" w:hAnsi="Times New Roman" w:eastAsia="宋体"/>
                <w:sz w:val="21"/>
              </w:rPr>
              <w:t>0.9804</w:t>
            </w:r>
          </w:p>
        </w:tc>
        <w:tc>
          <w:tcPr>
            <w:tcW w:type="dxa" w:w="3118"/>
          </w:tcPr>
          <w:p>
            <w:pPr>
              <w:jc w:val="center"/>
            </w:pPr>
            <w:r>
              <w:rPr>
                <w:rFonts w:ascii="Times New Roman" w:hAnsi="Times New Roman" w:eastAsia="宋体"/>
                <w:sz w:val="21"/>
              </w:rPr>
              <w:t>-0.0007</w:t>
            </w:r>
          </w:p>
        </w:tc>
      </w:tr>
      <w:tr>
        <w:tc>
          <w:tcPr>
            <w:tcW w:type="dxa" w:w="3118"/>
          </w:tcPr>
          <w:p>
            <w:pPr>
              <w:jc w:val="center"/>
            </w:pPr>
            <w:r>
              <w:rPr>
                <w:rFonts w:ascii="Times New Roman" w:hAnsi="Times New Roman" w:eastAsia="宋体"/>
                <w:sz w:val="21"/>
              </w:rPr>
              <w:t>Genos-10B</w:t>
            </w:r>
          </w:p>
        </w:tc>
        <w:tc>
          <w:tcPr>
            <w:tcW w:type="dxa" w:w="3118"/>
          </w:tcPr>
          <w:p>
            <w:pPr>
              <w:jc w:val="center"/>
            </w:pPr>
            <w:r>
              <w:rPr>
                <w:rFonts w:ascii="Times New Roman" w:hAnsi="Times New Roman" w:eastAsia="宋体"/>
                <w:sz w:val="21"/>
              </w:rPr>
              <w:t>0.9806</w:t>
            </w:r>
          </w:p>
        </w:tc>
        <w:tc>
          <w:tcPr>
            <w:tcW w:type="dxa" w:w="3118"/>
          </w:tcPr>
          <w:p>
            <w:pPr>
              <w:jc w:val="center"/>
            </w:pPr>
            <w:r>
              <w:rPr>
                <w:rFonts w:ascii="Times New Roman" w:hAnsi="Times New Roman" w:eastAsia="宋体"/>
                <w:sz w:val="21"/>
              </w:rPr>
              <w:t>-0.0009</w:t>
            </w:r>
          </w:p>
        </w:tc>
      </w:tr>
      <w:tr>
        <w:tc>
          <w:tcPr>
            <w:tcW w:type="dxa" w:w="3118"/>
          </w:tcPr>
          <w:p>
            <w:pPr>
              <w:jc w:val="center"/>
            </w:pPr>
            <w:r>
              <w:rPr>
                <w:rFonts w:ascii="Times New Roman" w:hAnsi="Times New Roman" w:eastAsia="宋体"/>
                <w:sz w:val="21"/>
              </w:rPr>
              <w:t>gnomAD AF</w:t>
            </w:r>
          </w:p>
        </w:tc>
        <w:tc>
          <w:tcPr>
            <w:tcW w:type="dxa" w:w="3118"/>
          </w:tcPr>
          <w:p>
            <w:pPr>
              <w:jc w:val="center"/>
            </w:pPr>
            <w:r>
              <w:rPr>
                <w:rFonts w:ascii="Times New Roman" w:hAnsi="Times New Roman" w:eastAsia="宋体"/>
                <w:sz w:val="21"/>
              </w:rPr>
              <w:t>0.9807</w:t>
            </w:r>
          </w:p>
        </w:tc>
        <w:tc>
          <w:tcPr>
            <w:tcW w:type="dxa" w:w="3118"/>
          </w:tcPr>
          <w:p>
            <w:pPr>
              <w:jc w:val="center"/>
            </w:pPr>
            <w:r>
              <w:rPr>
                <w:rFonts w:ascii="Times New Roman" w:hAnsi="Times New Roman" w:eastAsia="宋体"/>
                <w:sz w:val="21"/>
              </w:rPr>
              <w:t>-0.0009</w:t>
            </w:r>
          </w:p>
        </w:tc>
      </w:tr>
      <w:tr>
        <w:tc>
          <w:tcPr>
            <w:tcW w:type="dxa" w:w="3118"/>
          </w:tcPr>
          <w:p>
            <w:pPr>
              <w:jc w:val="center"/>
            </w:pPr>
            <w:r>
              <w:rPr>
                <w:rFonts w:ascii="Times New Roman" w:hAnsi="Times New Roman" w:eastAsia="宋体"/>
                <w:sz w:val="21"/>
              </w:rPr>
              <w:t>phyloP</w:t>
            </w:r>
          </w:p>
        </w:tc>
        <w:tc>
          <w:tcPr>
            <w:tcW w:type="dxa" w:w="3118"/>
          </w:tcPr>
          <w:p>
            <w:pPr>
              <w:jc w:val="center"/>
            </w:pPr>
            <w:r>
              <w:rPr>
                <w:rFonts w:ascii="Times New Roman" w:hAnsi="Times New Roman" w:eastAsia="宋体"/>
                <w:sz w:val="21"/>
              </w:rPr>
              <w:t>0.9810</w:t>
            </w:r>
          </w:p>
        </w:tc>
        <w:tc>
          <w:tcPr>
            <w:tcW w:type="dxa" w:w="3118"/>
          </w:tcPr>
          <w:p>
            <w:pPr>
              <w:jc w:val="center"/>
            </w:pPr>
            <w:r>
              <w:rPr>
                <w:rFonts w:ascii="Times New Roman" w:hAnsi="Times New Roman" w:eastAsia="宋体"/>
                <w:sz w:val="21"/>
              </w:rPr>
              <w:t>-0.0012</w:t>
            </w:r>
          </w:p>
        </w:tc>
      </w:tr>
    </w:tbl>
    <w:p>
      <w:pPr>
        <w:spacing w:before="120" w:after="60" w:lineRule="auto" w:line="360"/>
        <w:jc w:val="left"/>
      </w:pPr>
      <w:r>
        <w:rPr>
          <w:rFonts w:ascii="Times New Roman" w:hAnsi="Times New Roman" w:eastAsia="宋体"/>
          <w:b/>
          <w:sz w:val="24"/>
        </w:rPr>
        <w:t>4.3.2  结果分析</w:t>
      </w:r>
    </w:p>
    <w:p>
      <w:pPr>
        <w:spacing w:lineRule="auto" w:line="360" w:before="0" w:after="0"/>
        <w:ind w:firstLine="480"/>
        <w:jc w:val="both"/>
      </w:pPr>
      <w:r>
        <w:rPr>
          <w:rFonts w:ascii="Times New Roman" w:hAnsi="Times New Roman" w:eastAsia="宋体"/>
          <w:sz w:val="24"/>
        </w:rPr>
        <w:t>消融实验揭示了以下重要规律：</w:t>
      </w:r>
    </w:p>
    <w:p>
      <w:pPr>
        <w:spacing w:lineRule="auto" w:line="360" w:before="0" w:after="0"/>
        <w:ind w:firstLine="480"/>
        <w:jc w:val="both"/>
      </w:pPr>
      <w:r>
        <w:rPr>
          <w:rFonts w:ascii="Times New Roman" w:hAnsi="Times New Roman" w:eastAsia="宋体"/>
          <w:sz w:val="24"/>
        </w:rPr>
        <w:t>（1）AlphaMissense贡献最大（ΔAUROC=+0.0102）：移除AlphaMissense后，模型AUROC从0.9797下降至0.9695，降幅最大。这与AlphaMissense在单特征评估中的最高AUROC（0.9738）相一致，说明AlphaMissense是本数据集上最具判别力的特征。</w:t>
      </w:r>
    </w:p>
    <w:p>
      <w:pPr>
        <w:spacing w:lineRule="auto" w:line="360" w:before="0" w:after="0"/>
        <w:ind w:firstLine="480"/>
        <w:jc w:val="both"/>
      </w:pPr>
      <w:r>
        <w:rPr>
          <w:rFonts w:ascii="Times New Roman" w:hAnsi="Times New Roman" w:eastAsia="宋体"/>
          <w:sz w:val="24"/>
        </w:rPr>
        <w:t>（2）CADD Phred贡献显著（ΔAUROC=+0.0057）：CADD Phred是第二重要的特征，其综合多种注释信息的特点使其在集成框架中发挥了重要作用。</w:t>
      </w:r>
    </w:p>
    <w:p>
      <w:pPr>
        <w:spacing w:lineRule="auto" w:line="360" w:before="0" w:after="0"/>
        <w:ind w:firstLine="480"/>
        <w:jc w:val="both"/>
      </w:pPr>
      <w:r>
        <w:rPr>
          <w:rFonts w:ascii="Times New Roman" w:hAnsi="Times New Roman" w:eastAsia="宋体"/>
          <w:sz w:val="24"/>
        </w:rPr>
        <w:t>（3）REVEL和PolyPhen-2有正贡献（ΔAUROC分别为+0.0017和+0.0014）：尽管PolyPhen-2单特征AUROC仅为0.5795，但在集成框架中仍提供了一定的互补信息。</w:t>
      </w:r>
    </w:p>
    <w:p>
      <w:pPr>
        <w:spacing w:lineRule="auto" w:line="360" w:before="0" w:after="0"/>
        <w:ind w:firstLine="480"/>
        <w:jc w:val="both"/>
      </w:pPr>
      <w:r>
        <w:rPr>
          <w:rFonts w:ascii="Times New Roman" w:hAnsi="Times New Roman" w:eastAsia="宋体"/>
          <w:sz w:val="24"/>
        </w:rPr>
        <w:t>（4）Genos-10B、phyloP和gnomAD AF引入轻微噪声（ΔAUROC分别为-0.0009、-0.0012和-0.0009）：这三个新增特征在当前BRCA1/2数据集上未能提升模型性能，可能原因包括：Genos-10B的训练数据与BRCA1/2变异存在分布重叠，与AlphaMissense等工具高度相关；gnomAD AF在本数据集中缺失率高达70.2%，有效信息有限；phyloP保守性评分在BRCA1/2基因的编码区变化不大，区分度有限。</w:t>
      </w:r>
    </w:p>
    <w:p>
      <w:pPr>
        <w:spacing w:lineRule="auto" w:line="360" w:before="0" w:after="0"/>
        <w:ind w:firstLine="480"/>
        <w:jc w:val="both"/>
      </w:pPr>
      <w:r>
        <w:rPr>
          <w:rFonts w:ascii="Times New Roman" w:hAnsi="Times New Roman" w:eastAsia="宋体"/>
          <w:sz w:val="24"/>
        </w:rPr>
        <w:t>（5）SIFT引入轻微噪声（ΔAUROC=-0.0007）：SIFT的单特征AUROC（0.8481）相对较低，且与其他工具存在一定冗余，在集成框架中贡献有限。</w:t>
      </w:r>
    </w:p>
    <w:p>
      <w:pPr>
        <w:spacing w:before="120" w:after="60" w:lineRule="auto" w:line="360"/>
        <w:jc w:val="left"/>
      </w:pPr>
      <w:r>
        <w:rPr>
          <w:rFonts w:ascii="Times New Roman" w:hAnsi="Times New Roman" w:eastAsia="宋体"/>
          <w:b/>
          <w:sz w:val="24"/>
        </w:rPr>
        <w:t>4.3.3  SHAP特征重要性</w:t>
      </w:r>
    </w:p>
    <w:p>
      <w:pPr>
        <w:spacing w:lineRule="auto" w:line="360" w:before="0" w:after="0"/>
        <w:ind w:firstLine="480"/>
        <w:jc w:val="both"/>
      </w:pPr>
      <w:r>
        <w:rPr>
          <w:rFonts w:ascii="Times New Roman" w:hAnsi="Times New Roman" w:eastAsia="宋体"/>
          <w:sz w:val="24"/>
        </w:rPr>
        <w:t>图4-2展示了消融实验结果（左图）和基于全量数据训练的XGBoost模型的SHAP特征重要性（右图，Mean |SHAP value|）。SHAP分析与消融实验结论高度一致：AlphaMissense的平均|SHAP值|最高，其次为REVEL和CADD Phred，说明这三个特征是模型预测的主要驱动因素。Genos-10B和gnomAD AF的SHAP值相对较低，与消融实验中的轻微负贡献相符。</w:t>
      </w:r>
    </w:p>
    <w:p>
      <w:pPr>
        <w:jc w:val="center"/>
      </w:pPr>
      <w:r>
        <w:drawing>
          <wp:inline xmlns:a="http://schemas.openxmlformats.org/drawingml/2006/main" xmlns:pic="http://schemas.openxmlformats.org/drawingml/2006/picture">
            <wp:extent cx="5029200" cy="1933981"/>
            <wp:docPr id="2" name="Picture 2"/>
            <wp:cNvGraphicFramePr>
              <a:graphicFrameLocks noChangeAspect="1"/>
            </wp:cNvGraphicFramePr>
            <a:graphic>
              <a:graphicData uri="http://schemas.openxmlformats.org/drawingml/2006/picture">
                <pic:pic>
                  <pic:nvPicPr>
                    <pic:cNvPr id="0" name="fig_ablation_shap_final.png"/>
                    <pic:cNvPicPr/>
                  </pic:nvPicPr>
                  <pic:blipFill>
                    <a:blip r:embed="rId11"/>
                    <a:stretch>
                      <a:fillRect/>
                    </a:stretch>
                  </pic:blipFill>
                  <pic:spPr>
                    <a:xfrm>
                      <a:off x="0" y="0"/>
                      <a:ext cx="5029200" cy="1933981"/>
                    </a:xfrm>
                    <a:prstGeom prst="rect"/>
                  </pic:spPr>
                </pic:pic>
              </a:graphicData>
            </a:graphic>
          </wp:inline>
        </w:drawing>
      </w:r>
    </w:p>
    <w:p>
      <w:pPr>
        <w:spacing w:before="60" w:after="120" w:lineRule="auto" w:line="360"/>
        <w:jc w:val="center"/>
      </w:pPr>
      <w:r>
        <w:rPr>
          <w:rFonts w:ascii="Times New Roman" w:hAnsi="Times New Roman" w:eastAsia="宋体"/>
          <w:sz w:val="18"/>
        </w:rPr>
        <w:t>图4-2  消融实验结果（左）与SHAP特征重要性（右）</w:t>
      </w:r>
    </w:p>
    <w:p>
      <w:pPr>
        <w:spacing w:before="240" w:after="120" w:lineRule="auto" w:line="360"/>
        <w:jc w:val="left"/>
      </w:pPr>
      <w:r>
        <w:rPr>
          <w:rFonts w:ascii="Times New Roman" w:hAnsi="Times New Roman" w:eastAsia="黑体"/>
          <w:b/>
          <w:sz w:val="28"/>
        </w:rPr>
        <w:t>4.4  概率校准实验</w:t>
      </w:r>
    </w:p>
    <w:p>
      <w:pPr>
        <w:spacing w:before="120" w:after="60" w:lineRule="auto" w:line="360"/>
        <w:jc w:val="left"/>
      </w:pPr>
      <w:r>
        <w:rPr>
          <w:rFonts w:ascii="Times New Roman" w:hAnsi="Times New Roman" w:eastAsia="宋体"/>
          <w:b/>
          <w:sz w:val="24"/>
        </w:rPr>
        <w:t>4.4.1  校准方法对比</w:t>
      </w:r>
    </w:p>
    <w:p>
      <w:pPr>
        <w:spacing w:lineRule="auto" w:line="360" w:before="0" w:after="0"/>
        <w:ind w:firstLine="480"/>
        <w:jc w:val="both"/>
      </w:pPr>
      <w:r>
        <w:rPr>
          <w:rFonts w:ascii="Times New Roman" w:hAnsi="Times New Roman" w:eastAsia="宋体"/>
          <w:sz w:val="24"/>
        </w:rPr>
        <w:t>表4-3列出了三种校准方法在5折交叉验证上的性能对比。从实验结果可以看出：（1）Platt Scaling在ECE指标上表现最优（均值0.0392），相比未校准（0.0481）降低了18.5%，说明Platt Scaling有效改善了模型的概率校准质量。（2）Isotonic Regression的ECE均值（0.0432）介于未校准和Platt Scaling之间，但其AUROC均值（0.9519）显著低于未校准（0.9811），说明Isotonic Regression在小样本折叠上存在过拟合问题，损失了模型的判别能力。（3）Platt Scaling的AUROC（0.9811）与未校准相同，说明校准过程未损失判别能力，这是选择Platt Scaling的关键依据。</w:t>
      </w:r>
    </w:p>
    <w:p>
      <w:pPr>
        <w:spacing w:before="60" w:after="120" w:lineRule="auto" w:line="360"/>
        <w:jc w:val="center"/>
      </w:pPr>
      <w:r>
        <w:rPr>
          <w:rFonts w:ascii="Times New Roman" w:hAnsi="Times New Roman" w:eastAsia="宋体"/>
          <w:sz w:val="18"/>
        </w:rPr>
        <w:t>表4-3  概率校准方法对比（5折交叉验证）</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jc w:val="center"/>
            </w:pPr>
            <w:r>
              <w:rPr>
                <w:rFonts w:ascii="Times New Roman" w:hAnsi="Times New Roman" w:eastAsia="宋体"/>
                <w:b/>
                <w:sz w:val="21"/>
              </w:rPr>
              <w:t>校准方法</w:t>
            </w:r>
          </w:p>
        </w:tc>
        <w:tc>
          <w:tcPr>
            <w:tcW w:type="dxa" w:w="2339"/>
          </w:tcPr>
          <w:p>
            <w:pPr>
              <w:jc w:val="center"/>
            </w:pPr>
            <w:r>
              <w:rPr>
                <w:rFonts w:ascii="Times New Roman" w:hAnsi="Times New Roman" w:eastAsia="宋体"/>
                <w:b/>
                <w:sz w:val="21"/>
              </w:rPr>
              <w:t>AUROC均值</w:t>
            </w:r>
          </w:p>
        </w:tc>
        <w:tc>
          <w:tcPr>
            <w:tcW w:type="dxa" w:w="2339"/>
          </w:tcPr>
          <w:p>
            <w:pPr>
              <w:jc w:val="center"/>
            </w:pPr>
            <w:r>
              <w:rPr>
                <w:rFonts w:ascii="Times New Roman" w:hAnsi="Times New Roman" w:eastAsia="宋体"/>
                <w:b/>
                <w:sz w:val="21"/>
              </w:rPr>
              <w:t>ECE均值</w:t>
            </w:r>
          </w:p>
        </w:tc>
        <w:tc>
          <w:tcPr>
            <w:tcW w:type="dxa" w:w="2339"/>
          </w:tcPr>
          <w:p>
            <w:pPr>
              <w:jc w:val="center"/>
            </w:pPr>
            <w:r>
              <w:rPr>
                <w:rFonts w:ascii="Times New Roman" w:hAnsi="Times New Roman" w:eastAsia="宋体"/>
                <w:b/>
                <w:sz w:val="21"/>
              </w:rPr>
              <w:t>Brier均值</w:t>
            </w:r>
          </w:p>
        </w:tc>
      </w:tr>
      <w:tr>
        <w:tc>
          <w:tcPr>
            <w:tcW w:type="dxa" w:w="2339"/>
          </w:tcPr>
          <w:p>
            <w:pPr>
              <w:jc w:val="center"/>
            </w:pPr>
            <w:r>
              <w:rPr>
                <w:rFonts w:ascii="Times New Roman" w:hAnsi="Times New Roman" w:eastAsia="宋体"/>
                <w:sz w:val="21"/>
              </w:rPr>
              <w:t>未校准</w:t>
            </w:r>
          </w:p>
        </w:tc>
        <w:tc>
          <w:tcPr>
            <w:tcW w:type="dxa" w:w="2339"/>
          </w:tcPr>
          <w:p>
            <w:pPr>
              <w:jc w:val="center"/>
            </w:pPr>
            <w:r>
              <w:rPr>
                <w:rFonts w:ascii="Times New Roman" w:hAnsi="Times New Roman" w:eastAsia="宋体"/>
                <w:sz w:val="21"/>
              </w:rPr>
              <w:t>0.9811</w:t>
            </w:r>
          </w:p>
        </w:tc>
        <w:tc>
          <w:tcPr>
            <w:tcW w:type="dxa" w:w="2339"/>
          </w:tcPr>
          <w:p>
            <w:pPr>
              <w:jc w:val="center"/>
            </w:pPr>
            <w:r>
              <w:rPr>
                <w:rFonts w:ascii="Times New Roman" w:hAnsi="Times New Roman" w:eastAsia="宋体"/>
                <w:sz w:val="21"/>
              </w:rPr>
              <w:t>0.0481</w:t>
            </w:r>
          </w:p>
        </w:tc>
        <w:tc>
          <w:tcPr>
            <w:tcW w:type="dxa" w:w="2339"/>
          </w:tcPr>
          <w:p>
            <w:pPr>
              <w:jc w:val="center"/>
            </w:pPr>
            <w:r>
              <w:rPr>
                <w:rFonts w:ascii="Times New Roman" w:hAnsi="Times New Roman" w:eastAsia="宋体"/>
                <w:sz w:val="21"/>
              </w:rPr>
              <w:t>0.0452</w:t>
            </w:r>
          </w:p>
        </w:tc>
      </w:tr>
      <w:tr>
        <w:tc>
          <w:tcPr>
            <w:tcW w:type="dxa" w:w="2339"/>
          </w:tcPr>
          <w:p>
            <w:pPr>
              <w:jc w:val="center"/>
            </w:pPr>
            <w:r>
              <w:rPr>
                <w:rFonts w:ascii="Times New Roman" w:hAnsi="Times New Roman" w:eastAsia="宋体"/>
                <w:sz w:val="21"/>
              </w:rPr>
              <w:t>Platt Scaling（推荐）</w:t>
            </w:r>
          </w:p>
        </w:tc>
        <w:tc>
          <w:tcPr>
            <w:tcW w:type="dxa" w:w="2339"/>
          </w:tcPr>
          <w:p>
            <w:pPr>
              <w:jc w:val="center"/>
            </w:pPr>
            <w:r>
              <w:rPr>
                <w:rFonts w:ascii="Times New Roman" w:hAnsi="Times New Roman" w:eastAsia="宋体"/>
                <w:sz w:val="21"/>
              </w:rPr>
              <w:t>0.9811</w:t>
            </w:r>
          </w:p>
        </w:tc>
        <w:tc>
          <w:tcPr>
            <w:tcW w:type="dxa" w:w="2339"/>
          </w:tcPr>
          <w:p>
            <w:pPr>
              <w:jc w:val="center"/>
            </w:pPr>
            <w:r>
              <w:rPr>
                <w:rFonts w:ascii="Times New Roman" w:hAnsi="Times New Roman" w:eastAsia="宋体"/>
                <w:sz w:val="21"/>
              </w:rPr>
              <w:t>0.0392</w:t>
            </w:r>
          </w:p>
        </w:tc>
        <w:tc>
          <w:tcPr>
            <w:tcW w:type="dxa" w:w="2339"/>
          </w:tcPr>
          <w:p>
            <w:pPr>
              <w:jc w:val="center"/>
            </w:pPr>
            <w:r>
              <w:rPr>
                <w:rFonts w:ascii="Times New Roman" w:hAnsi="Times New Roman" w:eastAsia="宋体"/>
                <w:sz w:val="21"/>
              </w:rPr>
              <w:t>0.0487</w:t>
            </w:r>
          </w:p>
        </w:tc>
      </w:tr>
      <w:tr>
        <w:tc>
          <w:tcPr>
            <w:tcW w:type="dxa" w:w="2339"/>
          </w:tcPr>
          <w:p>
            <w:pPr>
              <w:jc w:val="center"/>
            </w:pPr>
            <w:r>
              <w:rPr>
                <w:rFonts w:ascii="Times New Roman" w:hAnsi="Times New Roman" w:eastAsia="宋体"/>
                <w:sz w:val="21"/>
              </w:rPr>
              <w:t>Isotonic Regression</w:t>
            </w:r>
          </w:p>
        </w:tc>
        <w:tc>
          <w:tcPr>
            <w:tcW w:type="dxa" w:w="2339"/>
          </w:tcPr>
          <w:p>
            <w:pPr>
              <w:jc w:val="center"/>
            </w:pPr>
            <w:r>
              <w:rPr>
                <w:rFonts w:ascii="Times New Roman" w:hAnsi="Times New Roman" w:eastAsia="宋体"/>
                <w:sz w:val="21"/>
              </w:rPr>
              <w:t>0.9519</w:t>
            </w:r>
          </w:p>
        </w:tc>
        <w:tc>
          <w:tcPr>
            <w:tcW w:type="dxa" w:w="2339"/>
          </w:tcPr>
          <w:p>
            <w:pPr>
              <w:jc w:val="center"/>
            </w:pPr>
            <w:r>
              <w:rPr>
                <w:rFonts w:ascii="Times New Roman" w:hAnsi="Times New Roman" w:eastAsia="宋体"/>
                <w:sz w:val="21"/>
              </w:rPr>
              <w:t>0.0432</w:t>
            </w:r>
          </w:p>
        </w:tc>
        <w:tc>
          <w:tcPr>
            <w:tcW w:type="dxa" w:w="2339"/>
          </w:tcPr>
          <w:p>
            <w:pPr>
              <w:jc w:val="center"/>
            </w:pPr>
            <w:r>
              <w:rPr>
                <w:rFonts w:ascii="Times New Roman" w:hAnsi="Times New Roman" w:eastAsia="宋体"/>
                <w:sz w:val="21"/>
              </w:rPr>
              <w:t>0.0538</w:t>
            </w:r>
          </w:p>
        </w:tc>
      </w:tr>
    </w:tbl>
    <w:p>
      <w:pPr>
        <w:spacing w:before="120" w:after="60" w:lineRule="auto" w:line="360"/>
        <w:jc w:val="left"/>
      </w:pPr>
      <w:r>
        <w:rPr>
          <w:rFonts w:ascii="Times New Roman" w:hAnsi="Times New Roman" w:eastAsia="宋体"/>
          <w:b/>
          <w:sz w:val="24"/>
        </w:rPr>
        <w:t>4.4.2  最终模型校准质量</w:t>
      </w:r>
    </w:p>
    <w:p>
      <w:pPr>
        <w:spacing w:lineRule="auto" w:line="360" w:before="0" w:after="0"/>
        <w:ind w:firstLine="480"/>
        <w:jc w:val="both"/>
      </w:pPr>
      <w:r>
        <w:rPr>
          <w:rFonts w:ascii="Times New Roman" w:hAnsi="Times New Roman" w:eastAsia="宋体"/>
          <w:sz w:val="24"/>
        </w:rPr>
        <w:t>在全量OOF概率上拟合Platt Scaling后，最终模型的ECE为0.0257，Brier分数为0.0439。ECE=0.0257意味着模型预测概率与实际频率之间的平均偏差约为2.57个百分点，具有良好的概率校准质量，可以直接将模型输出的概率值用于临床决策参考。</w:t>
      </w:r>
    </w:p>
    <w:p>
      <w:pPr>
        <w:spacing w:before="240" w:after="120" w:lineRule="auto" w:line="360"/>
        <w:jc w:val="left"/>
      </w:pPr>
      <w:r>
        <w:rPr>
          <w:rFonts w:ascii="Times New Roman" w:hAnsi="Times New Roman" w:eastAsia="黑体"/>
          <w:b/>
          <w:sz w:val="28"/>
        </w:rPr>
        <w:t>4.5  Plan C案例分析</w:t>
      </w:r>
    </w:p>
    <w:p>
      <w:pPr>
        <w:spacing w:before="120" w:after="60" w:lineRule="auto" w:line="360"/>
        <w:jc w:val="left"/>
      </w:pPr>
      <w:r>
        <w:rPr>
          <w:rFonts w:ascii="Times New Roman" w:hAnsi="Times New Roman" w:eastAsia="宋体"/>
          <w:b/>
          <w:sz w:val="24"/>
        </w:rPr>
        <w:t>4.5.1  案例一：TP53致病变异</w:t>
      </w:r>
    </w:p>
    <w:p>
      <w:pPr>
        <w:spacing w:lineRule="auto" w:line="360" w:before="0" w:after="0"/>
        <w:ind w:firstLine="480"/>
        <w:jc w:val="both"/>
      </w:pPr>
      <w:r>
        <w:rPr>
          <w:rFonts w:ascii="Times New Roman" w:hAnsi="Times New Roman" w:eastAsia="宋体"/>
          <w:sz w:val="24"/>
        </w:rPr>
        <w:t>变异信息：chr17:7673781 C&gt;G（GRCh38），基因TP53，ClinVar标注为Pathogenic/Likely pathogenic。</w:t>
      </w:r>
    </w:p>
    <w:p>
      <w:pPr>
        <w:spacing w:lineRule="auto" w:line="360" w:before="0" w:after="0"/>
        <w:ind w:firstLine="480"/>
        <w:jc w:val="both"/>
      </w:pPr>
      <w:r>
        <w:rPr>
          <w:rFonts w:ascii="Times New Roman" w:hAnsi="Times New Roman" w:eastAsia="宋体"/>
          <w:sz w:val="24"/>
        </w:rPr>
        <w:t>特征值：AlphaMissense=1.000，CADD Phred=29.6，REVEL=0.940，SIFT(inv)=1.000，Genos-10B=0.974，phyloP=2.550，gnomAD AF=0（未收录）。</w:t>
      </w:r>
    </w:p>
    <w:p>
      <w:pPr>
        <w:spacing w:lineRule="auto" w:line="360" w:before="0" w:after="0"/>
        <w:ind w:firstLine="480"/>
        <w:jc w:val="both"/>
      </w:pPr>
      <w:r>
        <w:rPr>
          <w:rFonts w:ascii="Times New Roman" w:hAnsi="Times New Roman" w:eastAsia="宋体"/>
          <w:sz w:val="24"/>
        </w:rPr>
        <w:t>SNV-judge预测：致病概率（Platt校准后）=93.9%。</w:t>
      </w:r>
    </w:p>
    <w:p>
      <w:pPr>
        <w:spacing w:lineRule="auto" w:line="360" w:before="0" w:after="0"/>
        <w:ind w:firstLine="480"/>
        <w:jc w:val="both"/>
      </w:pPr>
      <w:r>
        <w:rPr>
          <w:rFonts w:ascii="Times New Roman" w:hAnsi="Times New Roman" w:eastAsia="宋体"/>
          <w:sz w:val="24"/>
        </w:rPr>
        <w:t>ACMG证据映射：触发PM2（gnomAD未收录，结合高概率）、PP3（AlphaMissense=1.000、CADD=29.6、REVEL=0.940三个工具一致预测有害）、PP3_cons（phyloP=2.550≥2.0，高度保守）、PP3_fm（Genos-10B=0.974≥0.8）。</w:t>
      </w:r>
    </w:p>
    <w:p>
      <w:pPr>
        <w:spacing w:lineRule="auto" w:line="360" w:before="0" w:after="0"/>
        <w:ind w:firstLine="480"/>
        <w:jc w:val="both"/>
      </w:pPr>
      <w:r>
        <w:rPr>
          <w:rFonts w:ascii="Times New Roman" w:hAnsi="Times New Roman" w:eastAsia="宋体"/>
          <w:sz w:val="24"/>
        </w:rPr>
        <w:t>SHAP分析：AlphaMissense（+3.415）、CADD Phred（+1.654）和REVEL（+1.652）是贡献最大的三个特征，均指向致病方向；gnomAD AF（-1.042）和PolyPhen-2（-0.960）指向良性方向，但绝对值较小。</w:t>
      </w:r>
    </w:p>
    <w:p>
      <w:pPr>
        <w:spacing w:lineRule="auto" w:line="360" w:before="0" w:after="0"/>
        <w:ind w:firstLine="480"/>
        <w:jc w:val="both"/>
      </w:pPr>
      <w:r>
        <w:rPr>
          <w:rFonts w:ascii="Times New Roman" w:hAnsi="Times New Roman" w:eastAsia="宋体"/>
          <w:sz w:val="24"/>
        </w:rPr>
        <w:t>Plan C报告结论：综合PM2（中等致病证据）+ PP3（支持致病）+ PP3_cons（支持致病）+ PP3_fm（支持致病），ACMG综合分类为Pathogenic，与ClinVar标注一致。</w:t>
      </w:r>
    </w:p>
    <w:p>
      <w:pPr>
        <w:spacing w:before="120" w:after="60" w:lineRule="auto" w:line="360"/>
        <w:jc w:val="left"/>
      </w:pPr>
      <w:r>
        <w:rPr>
          <w:rFonts w:ascii="Times New Roman" w:hAnsi="Times New Roman" w:eastAsia="宋体"/>
          <w:b/>
          <w:sz w:val="24"/>
        </w:rPr>
        <w:t>4.5.2  案例二：BRCA2良性变异</w:t>
      </w:r>
    </w:p>
    <w:p>
      <w:pPr>
        <w:spacing w:lineRule="auto" w:line="360" w:before="0" w:after="0"/>
        <w:ind w:firstLine="480"/>
        <w:jc w:val="both"/>
      </w:pPr>
      <w:r>
        <w:rPr>
          <w:rFonts w:ascii="Times New Roman" w:hAnsi="Times New Roman" w:eastAsia="宋体"/>
          <w:sz w:val="24"/>
        </w:rPr>
        <w:t>变异信息：chr13:32340561 T&gt;C（GRCh38），基因BRCA2，ClinVar标注为Likely benign。</w:t>
      </w:r>
    </w:p>
    <w:p>
      <w:pPr>
        <w:spacing w:lineRule="auto" w:line="360" w:before="0" w:after="0"/>
        <w:ind w:firstLine="480"/>
        <w:jc w:val="both"/>
      </w:pPr>
      <w:r>
        <w:rPr>
          <w:rFonts w:ascii="Times New Roman" w:hAnsi="Times New Roman" w:eastAsia="宋体"/>
          <w:sz w:val="24"/>
        </w:rPr>
        <w:t>特征值：AlphaMissense=0.045，CADD Phred=15.49，REVEL=0.155，SIFT(inv)=0.000，PolyPhen-2=0.000，Genos-10B=0.205，phyloP=1.580，gnomAD AF=0（未收录）。</w:t>
      </w:r>
    </w:p>
    <w:p>
      <w:pPr>
        <w:spacing w:lineRule="auto" w:line="360" w:before="0" w:after="0"/>
        <w:ind w:firstLine="480"/>
        <w:jc w:val="both"/>
      </w:pPr>
      <w:r>
        <w:rPr>
          <w:rFonts w:ascii="Times New Roman" w:hAnsi="Times New Roman" w:eastAsia="宋体"/>
          <w:sz w:val="24"/>
        </w:rPr>
        <w:t>SNV-judge预测：致病概率（Platt校准后）=3.9%。</w:t>
      </w:r>
    </w:p>
    <w:p>
      <w:pPr>
        <w:spacing w:lineRule="auto" w:line="360" w:before="0" w:after="0"/>
        <w:ind w:firstLine="480"/>
        <w:jc w:val="both"/>
      </w:pPr>
      <w:r>
        <w:rPr>
          <w:rFonts w:ascii="Times New Roman" w:hAnsi="Times New Roman" w:eastAsia="宋体"/>
          <w:sz w:val="24"/>
        </w:rPr>
        <w:t>ACMG证据映射：触发PM2_weak（gnomAD未收录，但SNV-judge概率仅3.9%，不足以支持致病，标注为中性说明）、BP4（AlphaMissense=0.045、CADD=15.49、REVEL=0.155、PolyPhen-2=0.000四个工具一致预测良性）。</w:t>
      </w:r>
    </w:p>
    <w:p>
      <w:pPr>
        <w:spacing w:lineRule="auto" w:line="360" w:before="0" w:after="0"/>
        <w:ind w:firstLine="480"/>
        <w:jc w:val="both"/>
      </w:pPr>
      <w:r>
        <w:rPr>
          <w:rFonts w:ascii="Times New Roman" w:hAnsi="Times New Roman" w:eastAsia="宋体"/>
          <w:sz w:val="24"/>
        </w:rPr>
        <w:t>SHAP分析：AlphaMissense（-1.576）、REVEL（-1.397）和gnomAD AF（-1.011）是贡献最大的三个特征，均指向良性方向；phyloP（+0.146）和PolyPhen-2（+0.046）轻微指向致病，但绝对值极小。</w:t>
      </w:r>
    </w:p>
    <w:p>
      <w:pPr>
        <w:spacing w:lineRule="auto" w:line="360" w:before="0" w:after="0"/>
        <w:ind w:firstLine="480"/>
        <w:jc w:val="both"/>
      </w:pPr>
      <w:r>
        <w:rPr>
          <w:rFonts w:ascii="Times New Roman" w:hAnsi="Times New Roman" w:eastAsia="宋体"/>
          <w:sz w:val="24"/>
        </w:rPr>
        <w:t>Plan C报告结论：综合BP4（支持良性）+ PM2_weak（中性，不支持致病），ACMG综合分类为Likely Benign，与ClinVar标注一致。</w:t>
      </w:r>
    </w:p>
    <w:p>
      <w:pPr>
        <w:jc w:val="center"/>
      </w:pPr>
      <w:r>
        <w:drawing>
          <wp:inline xmlns:a="http://schemas.openxmlformats.org/drawingml/2006/main" xmlns:pic="http://schemas.openxmlformats.org/drawingml/2006/picture">
            <wp:extent cx="5029200" cy="2110538"/>
            <wp:docPr id="3" name="Picture 3"/>
            <wp:cNvGraphicFramePr>
              <a:graphicFrameLocks noChangeAspect="1"/>
            </wp:cNvGraphicFramePr>
            <a:graphic>
              <a:graphicData uri="http://schemas.openxmlformats.org/drawingml/2006/picture">
                <pic:pic>
                  <pic:nvPicPr>
                    <pic:cNvPr id="0" name="fig_planc_shap_comparison.png"/>
                    <pic:cNvPicPr/>
                  </pic:nvPicPr>
                  <pic:blipFill>
                    <a:blip r:embed="rId12"/>
                    <a:stretch>
                      <a:fillRect/>
                    </a:stretch>
                  </pic:blipFill>
                  <pic:spPr>
                    <a:xfrm>
                      <a:off x="0" y="0"/>
                      <a:ext cx="5029200" cy="2110538"/>
                    </a:xfrm>
                    <a:prstGeom prst="rect"/>
                  </pic:spPr>
                </pic:pic>
              </a:graphicData>
            </a:graphic>
          </wp:inline>
        </w:drawing>
      </w:r>
    </w:p>
    <w:p>
      <w:pPr>
        <w:spacing w:before="60" w:after="120" w:lineRule="auto" w:line="360"/>
        <w:jc w:val="center"/>
      </w:pPr>
      <w:r>
        <w:rPr>
          <w:rFonts w:ascii="Times New Roman" w:hAnsi="Times New Roman" w:eastAsia="宋体"/>
          <w:sz w:val="18"/>
        </w:rPr>
        <w:t>图4-3  两个案例的SHAP特征贡献对比（左：TP53致病变异；右：BRCA2良性变异）</w:t>
      </w:r>
    </w:p>
    <w:p>
      <w:pPr>
        <w:spacing w:before="120" w:after="60" w:lineRule="auto" w:line="360"/>
        <w:jc w:val="left"/>
      </w:pPr>
      <w:r>
        <w:rPr>
          <w:rFonts w:ascii="Times New Roman" w:hAnsi="Times New Roman" w:eastAsia="宋体"/>
          <w:b/>
          <w:sz w:val="24"/>
        </w:rPr>
        <w:t>4.5.3  案例分析小结</w:t>
      </w:r>
    </w:p>
    <w:p>
      <w:pPr>
        <w:spacing w:lineRule="auto" w:line="360" w:before="0" w:after="0"/>
        <w:ind w:firstLine="480"/>
        <w:jc w:val="both"/>
      </w:pPr>
      <w:r>
        <w:rPr>
          <w:rFonts w:ascii="Times New Roman" w:hAnsi="Times New Roman" w:eastAsia="宋体"/>
          <w:sz w:val="24"/>
        </w:rPr>
        <w:t>两个案例的分析结果表明，Plan C模块能够：（1）准确识别并触发相关ACMG证据条目；（2）正确处理gnomAD AF=0对良性变异的特殊情况（PM2_weak机制）；（3）生成结构完整、推理清晰的六部分临床解读报告；（4）ACMG综合分类结论与ClinVar标注一致。每份报告的生成时间约为20-35秒，token消耗约1700个，具有较好的实用性。</w:t>
      </w:r>
    </w:p>
    <w:p>
      <w:r>
        <w:br w:type="page"/>
      </w:r>
    </w:p>
    <w:p>
      <w:pPr>
        <w:spacing w:before="360" w:after="240" w:lineRule="auto" w:line="360"/>
        <w:jc w:val="center"/>
      </w:pPr>
      <w:r>
        <w:rPr>
          <w:rFonts w:ascii="Times New Roman" w:hAnsi="Times New Roman" w:eastAsia="黑体"/>
          <w:b/>
          <w:sz w:val="32"/>
        </w:rPr>
        <w:t>第五章  总结与展望</w:t>
      </w:r>
    </w:p>
    <w:p>
      <w:pPr>
        <w:spacing w:before="240" w:after="120" w:lineRule="auto" w:line="360"/>
        <w:jc w:val="left"/>
      </w:pPr>
      <w:r>
        <w:rPr>
          <w:rFonts w:ascii="Times New Roman" w:hAnsi="Times New Roman" w:eastAsia="黑体"/>
          <w:b/>
          <w:sz w:val="28"/>
        </w:rPr>
        <w:t>5.1  工作总结</w:t>
      </w:r>
    </w:p>
    <w:p>
      <w:pPr>
        <w:spacing w:lineRule="auto" w:line="360" w:before="0" w:after="0"/>
        <w:ind w:firstLine="480"/>
        <w:jc w:val="both"/>
      </w:pPr>
      <w:r>
        <w:rPr>
          <w:rFonts w:ascii="Times New Roman" w:hAnsi="Times New Roman" w:eastAsia="宋体"/>
          <w:sz w:val="24"/>
        </w:rPr>
        <w:t>本文提出并实现了SNV-judge平台，一个融合基因组基础模型与集成学习的单核苷酸变异致病性预测系统。主要工作和创新点总结如下：</w:t>
      </w:r>
    </w:p>
    <w:p>
      <w:pPr>
        <w:spacing w:lineRule="auto" w:line="360" w:before="0" w:after="0"/>
        <w:ind w:firstLine="480"/>
        <w:jc w:val="both"/>
      </w:pPr>
      <w:r>
        <w:rPr>
          <w:rFonts w:ascii="Times New Roman" w:hAnsi="Times New Roman" w:eastAsia="宋体"/>
          <w:sz w:val="24"/>
        </w:rPr>
        <w:t>（1）构建了高质量的多源特征数据集。以ClinVar数据库中BRCA1/2基因的842条高质量标注变异为基准，整合了来自5种经典计算工具（SIFT、PolyPhen-2、AlphaMissense、CADD、REVEL）、1种基因组基础模型（Genos-10B）、进化保守性评分（phyloP）和人群频率数据（gnomAD AF）的8维特征矩阵。通过批量API调用实现了特征的自动化获取，Genos-10B评分获取成功率100%，phyloP获取成功率98.9%。</w:t>
      </w:r>
    </w:p>
    <w:p>
      <w:pPr>
        <w:spacing w:lineRule="auto" w:line="360" w:before="0" w:after="0"/>
        <w:ind w:firstLine="480"/>
        <w:jc w:val="both"/>
      </w:pPr>
      <w:r>
        <w:rPr>
          <w:rFonts w:ascii="Times New Roman" w:hAnsi="Times New Roman" w:eastAsia="宋体"/>
          <w:sz w:val="24"/>
        </w:rPr>
        <w:t>（2）设计并实现了高性能的集成学习预测模型。采用XGBoost和LightGBM双模型集成、5折OOF训练策略和Platt Scaling概率校准，在ClinVar BRCA1/2数据集上取得了AUROC=0.9797（95%CI [0.9674, 0.9896]）、AUPRC=0.9644、F1=0.9233、Brier=0.0439、ECE=0.0257的综合性能，相比单一最强基线AlphaMissense（AUROC=0.9738）提升了0.0059。</w:t>
      </w:r>
    </w:p>
    <w:p>
      <w:pPr>
        <w:spacing w:lineRule="auto" w:line="360" w:before="0" w:after="0"/>
        <w:ind w:firstLine="480"/>
        <w:jc w:val="both"/>
      </w:pPr>
      <w:r>
        <w:rPr>
          <w:rFonts w:ascii="Times New Roman" w:hAnsi="Times New Roman" w:eastAsia="宋体"/>
          <w:sz w:val="24"/>
        </w:rPr>
        <w:t>（3）系统评估了概率校准方法的有效性。通过5折交叉验证对比了未校准、Platt Scaling和Isotonic Regression三种方法，证明Platt Scaling在保持AUROC不变的同时将ECE从0.0481降低至0.0392，是最优的校准方案；Isotonic Regression在小样本折叠上存在过拟合风险，AUROC下降至0.9519，不适用于本场景。</w:t>
      </w:r>
    </w:p>
    <w:p>
      <w:pPr>
        <w:spacing w:lineRule="auto" w:line="360" w:before="0" w:after="0"/>
        <w:ind w:firstLine="480"/>
        <w:jc w:val="both"/>
      </w:pPr>
      <w:r>
        <w:rPr>
          <w:rFonts w:ascii="Times New Roman" w:hAnsi="Times New Roman" w:eastAsia="宋体"/>
          <w:sz w:val="24"/>
        </w:rPr>
        <w:t>（4）通过消融实验揭示了特征贡献规律。AlphaMissense（ΔAUROC=+0.0102）和CADD Phred（ΔAUROC=+0.0057）是贡献最大的两个特征；Genos-10B、phyloP和gnomAD AF在当前BRCA1/2数据集上引入了轻微噪声（ΔAUROC约为-0.001），这一发现为后续特征选择和模型优化提供了重要参考。</w:t>
      </w:r>
    </w:p>
    <w:p>
      <w:pPr>
        <w:spacing w:lineRule="auto" w:line="360" w:before="0" w:after="0"/>
        <w:ind w:firstLine="480"/>
        <w:jc w:val="both"/>
      </w:pPr>
      <w:r>
        <w:rPr>
          <w:rFonts w:ascii="Times New Roman" w:hAnsi="Times New Roman" w:eastAsia="宋体"/>
          <w:sz w:val="24"/>
        </w:rPr>
        <w:t>（5）开发了基于大语言模型的Plan C智能体模块。设计了包含8条规则的ACMG证据映射框架，通过Chain-of-Thought推理引导Kimi大语言模型生成六部分结构化临床解读报告，并通过PM2_weak机制解决了良性变异gnomAD AF=0时的误触发问题。在TP53致病变异和BRCA2良性变异两个案例上的验证结果表明，Plan C模块能够准确触发ACMG证据条目，生成与ClinVar标注一致的分类结论。</w:t>
      </w:r>
    </w:p>
    <w:p>
      <w:pPr>
        <w:spacing w:before="240" w:after="120" w:lineRule="auto" w:line="360"/>
        <w:jc w:val="left"/>
      </w:pPr>
      <w:r>
        <w:rPr>
          <w:rFonts w:ascii="Times New Roman" w:hAnsi="Times New Roman" w:eastAsia="黑体"/>
          <w:b/>
          <w:sz w:val="28"/>
        </w:rPr>
        <w:t>5.2  工作展望</w:t>
      </w:r>
    </w:p>
    <w:p>
      <w:pPr>
        <w:spacing w:lineRule="auto" w:line="360" w:before="0" w:after="0"/>
        <w:ind w:firstLine="480"/>
        <w:jc w:val="both"/>
      </w:pPr>
      <w:r>
        <w:rPr>
          <w:rFonts w:ascii="Times New Roman" w:hAnsi="Times New Roman" w:eastAsia="宋体"/>
          <w:sz w:val="24"/>
        </w:rPr>
        <w:t>尽管SNV-judge平台在BRCA1/2数据集上取得了良好的性能，但仍存在若干局限性，未来工作将从以下几个方向进行改进和扩展：</w:t>
      </w:r>
    </w:p>
    <w:p>
      <w:pPr>
        <w:spacing w:lineRule="auto" w:line="360" w:before="0" w:after="0"/>
        <w:ind w:firstLine="480"/>
        <w:jc w:val="both"/>
      </w:pPr>
      <w:r>
        <w:rPr>
          <w:rFonts w:ascii="Times New Roman" w:hAnsi="Times New Roman" w:eastAsia="宋体"/>
          <w:sz w:val="24"/>
        </w:rPr>
        <w:t>（1）扩展泛化验证范围。本文的实验仅在BRCA1/2基因上进行，未来需要在更多基因（如TP53、PTEN、MLH1、MSH2等遗传性肿瘤相关基因）和更大规模的数据集上验证模型的泛化能力。特别地，需要评估模型在不同基因、不同变异类型（如剪接位点变异、非编码区变异）上的性能差异，并针对性地优化特征工程策略。</w:t>
      </w:r>
    </w:p>
    <w:p>
      <w:pPr>
        <w:spacing w:lineRule="auto" w:line="360" w:before="0" w:after="0"/>
        <w:ind w:firstLine="480"/>
        <w:jc w:val="both"/>
      </w:pPr>
      <w:r>
        <w:rPr>
          <w:rFonts w:ascii="Times New Roman" w:hAnsi="Times New Roman" w:eastAsia="宋体"/>
          <w:sz w:val="24"/>
        </w:rPr>
        <w:t>（2）引入更多基因组基础模型特征。本文仅使用了Genos-10B的变异致病性评分，未来可以探索利用Genos-10B的序列嵌入（1024维向量）作为特征，通过降维方法（如PCA、UMAP）提取低维表示，可能捕获更丰富的序列级信息。此外，Evo2等其他基础模型的log-likelihood ratio（LLR）评分也值得纳入特征体系。</w:t>
      </w:r>
    </w:p>
    <w:p>
      <w:pPr>
        <w:spacing w:lineRule="auto" w:line="360" w:before="0" w:after="0"/>
        <w:ind w:firstLine="480"/>
        <w:jc w:val="both"/>
      </w:pPr>
      <w:r>
        <w:rPr>
          <w:rFonts w:ascii="Times New Roman" w:hAnsi="Times New Roman" w:eastAsia="宋体"/>
          <w:sz w:val="24"/>
        </w:rPr>
        <w:t>（3）优化Plan C模块的准确性和效率。当前Plan C模块的蛋白质变化注释（如p.Arg175His）需要手动提供，未来可以接入Ensembl VEP REST API自动获取HGVS注释。此外，可以探索使用更小的专用模型（如经过医学遗传学知识微调的模型）替代通用大语言模型，以提高推理速度和降低API调用成本。</w:t>
      </w:r>
    </w:p>
    <w:p>
      <w:pPr>
        <w:spacing w:lineRule="auto" w:line="360" w:before="0" w:after="0"/>
        <w:ind w:firstLine="480"/>
        <w:jc w:val="both"/>
      </w:pPr>
      <w:r>
        <w:rPr>
          <w:rFonts w:ascii="Times New Roman" w:hAnsi="Times New Roman" w:eastAsia="宋体"/>
          <w:sz w:val="24"/>
        </w:rPr>
        <w:t>（4）开发临床部署版本。将SNV-judge平台封装为Web应用或命令行工具，支持批量变异输入和报告导出，并与临床实验室的信息系统（LIS）进行集成，实现真正的临床辅助决策功能。同时，需要建立模型性能的持续监控机制，定期使用新增的ClinVar标注数据对模型进行更新和验证。</w:t>
      </w:r>
    </w:p>
    <w:p>
      <w:pPr>
        <w:spacing w:lineRule="auto" w:line="360" w:before="0" w:after="0"/>
        <w:ind w:firstLine="480"/>
        <w:jc w:val="both"/>
      </w:pPr>
      <w:r>
        <w:rPr>
          <w:rFonts w:ascii="Times New Roman" w:hAnsi="Times New Roman" w:eastAsia="宋体"/>
          <w:sz w:val="24"/>
        </w:rPr>
        <w:t>（5）探索多模态特征融合。除序列级特征外，蛋白质三维结构特征（如AlphaFold2预测的结构）、基因表达数据（如GTEx的组织特异性表达）和表观遗传特征（如ENCODE的染色质可及性数据）等多模态信息可能进一步提升预测精度，值得在未来工作中系统探索。</w:t>
      </w:r>
    </w:p>
    <w:p>
      <w:r>
        <w:br w:type="page"/>
      </w:r>
    </w:p>
    <w:p>
      <w:pPr>
        <w:spacing w:before="360" w:after="240" w:lineRule="auto" w:line="360"/>
        <w:jc w:val="center"/>
      </w:pPr>
      <w:r>
        <w:rPr>
          <w:rFonts w:ascii="Times New Roman" w:hAnsi="Times New Roman" w:eastAsia="黑体"/>
          <w:b/>
          <w:sz w:val="32"/>
        </w:rPr>
        <w:t>参考文献</w:t>
      </w:r>
    </w:p>
    <w:p>
      <w:pPr>
        <w:spacing w:lineRule="auto" w:line="360"/>
        <w:ind w:firstLine="0" w:left="480"/>
        <w:jc w:val="both"/>
      </w:pPr>
      <w:r>
        <w:rPr>
          <w:rFonts w:ascii="Times New Roman" w:hAnsi="Times New Roman" w:eastAsia="宋体"/>
          <w:sz w:val="21"/>
        </w:rPr>
        <w:t>[1] KARCZEWSKI K J, FRANCIOLI L C, TIAO G, et al. The mutational constraint spectrum quantified from variation in 141,456 humans[J]. Nature, 2020, 581(7809): 434-443.</w:t>
      </w:r>
    </w:p>
    <w:p>
      <w:pPr>
        <w:spacing w:lineRule="auto" w:line="360"/>
        <w:ind w:firstLine="0" w:left="480"/>
        <w:jc w:val="both"/>
      </w:pPr>
      <w:r>
        <w:rPr>
          <w:rFonts w:ascii="Times New Roman" w:hAnsi="Times New Roman" w:eastAsia="宋体"/>
          <w:sz w:val="21"/>
        </w:rPr>
        <w:t>[2] RICHARDS S, AZIZ N, BALE S, et al. Standards and guidelines for the interpretation of sequence variants: a joint consensus recommendation of the American College of Medical Genetics and Genomics and the Association for Molecular Pathology[J]. Genetics in Medicine, 2015, 17(5): 405-424.</w:t>
      </w:r>
    </w:p>
    <w:p>
      <w:pPr>
        <w:spacing w:lineRule="auto" w:line="360"/>
        <w:ind w:firstLine="0" w:left="480"/>
        <w:jc w:val="both"/>
      </w:pPr>
      <w:r>
        <w:rPr>
          <w:rFonts w:ascii="Times New Roman" w:hAnsi="Times New Roman" w:eastAsia="宋体"/>
          <w:sz w:val="21"/>
        </w:rPr>
        <w:t>[3] HARRISON S M, DOLINSKY J S, KNIGHT JOHNSON A E, et al. Clinical laboratories collaborate to resolve differences in variant interpretations submitted to ClinVar[J]. Genetics in Medicine, 2017, 19(10): 1096-1104.</w:t>
      </w:r>
    </w:p>
    <w:p>
      <w:pPr>
        <w:spacing w:lineRule="auto" w:line="360"/>
        <w:ind w:firstLine="0" w:left="480"/>
        <w:jc w:val="both"/>
      </w:pPr>
      <w:r>
        <w:rPr>
          <w:rFonts w:ascii="Times New Roman" w:hAnsi="Times New Roman" w:eastAsia="宋体"/>
          <w:sz w:val="21"/>
        </w:rPr>
        <w:t>[4] KUMAR P, HENIKOFF S, NG P C. Predicting the effects of coding non-synonymous variants on protein function using the SIFT algorithm[J]. Nature Protocols, 2009, 4(7): 1073-1081.</w:t>
      </w:r>
    </w:p>
    <w:p>
      <w:pPr>
        <w:spacing w:lineRule="auto" w:line="360"/>
        <w:ind w:firstLine="0" w:left="480"/>
        <w:jc w:val="both"/>
      </w:pPr>
      <w:r>
        <w:rPr>
          <w:rFonts w:ascii="Times New Roman" w:hAnsi="Times New Roman" w:eastAsia="宋体"/>
          <w:sz w:val="21"/>
        </w:rPr>
        <w:t>[5] ADZHUBEI I A, SCHMIDT S, PESHKIN L, et al. A method and server for predicting damaging missense mutations[J]. Nature Methods, 2010, 7(4): 248-249.</w:t>
      </w:r>
    </w:p>
    <w:p>
      <w:pPr>
        <w:spacing w:lineRule="auto" w:line="360"/>
        <w:ind w:firstLine="0" w:left="480"/>
        <w:jc w:val="both"/>
      </w:pPr>
      <w:r>
        <w:rPr>
          <w:rFonts w:ascii="Times New Roman" w:hAnsi="Times New Roman" w:eastAsia="宋体"/>
          <w:sz w:val="21"/>
        </w:rPr>
        <w:t>[6] RENTZSCH P, WITTEN D, COOPER G M, et al. CADD: predicting the deleteriousness of variants throughout the human genome[J]. Nucleic Acids Research, 2019, 47(D1): D886-D894.</w:t>
      </w:r>
    </w:p>
    <w:p>
      <w:pPr>
        <w:spacing w:lineRule="auto" w:line="360"/>
        <w:ind w:firstLine="0" w:left="480"/>
        <w:jc w:val="both"/>
      </w:pPr>
      <w:r>
        <w:rPr>
          <w:rFonts w:ascii="Times New Roman" w:hAnsi="Times New Roman" w:eastAsia="宋体"/>
          <w:sz w:val="21"/>
        </w:rPr>
        <w:t>[7] IOANNIDIS N M, ROTHSTEIN J H, PEJAVER V, et al. REVEL: an ensemble method for predicting the pathogenicity of rare missense variants[J]. The American Journal of Human Genetics, 2016, 99(4): 877-885.</w:t>
      </w:r>
    </w:p>
    <w:p>
      <w:pPr>
        <w:spacing w:lineRule="auto" w:line="360"/>
        <w:ind w:firstLine="0" w:left="480"/>
        <w:jc w:val="both"/>
      </w:pPr>
      <w:r>
        <w:rPr>
          <w:rFonts w:ascii="Times New Roman" w:hAnsi="Times New Roman" w:eastAsia="宋体"/>
          <w:sz w:val="21"/>
        </w:rPr>
        <w:t>[8] CHENG J, NOVATI G, PAN J, et al. Accurate proteome-wide missense variant effect prediction with AlphaMissense[J]. Science, 2023, 381(6664): eadg7492.</w:t>
      </w:r>
    </w:p>
    <w:p>
      <w:pPr>
        <w:spacing w:lineRule="auto" w:line="360"/>
        <w:ind w:firstLine="0" w:left="480"/>
        <w:jc w:val="both"/>
      </w:pPr>
      <w:r>
        <w:rPr>
          <w:rFonts w:ascii="Times New Roman" w:hAnsi="Times New Roman" w:eastAsia="宋体"/>
          <w:sz w:val="21"/>
        </w:rPr>
        <w:t>[9] BGI GENOMICS. Genos: a human-centric genomic foundation model[EB/OL]. (2024)[2025-03-01]. https://cloud.stomics.tech.</w:t>
      </w:r>
    </w:p>
    <w:p>
      <w:pPr>
        <w:spacing w:lineRule="auto" w:line="360"/>
        <w:ind w:firstLine="0" w:left="480"/>
        <w:jc w:val="both"/>
      </w:pPr>
      <w:r>
        <w:rPr>
          <w:rFonts w:ascii="Times New Roman" w:hAnsi="Times New Roman" w:eastAsia="宋体"/>
          <w:sz w:val="21"/>
        </w:rPr>
        <w:t>[10] NGUYEN E, POLI M, DURRANT M G, et al. Sequence modeling and design from molecular to genome scale with Evo 2[J]. Science, 2025, 387(6739): eado9336.</w:t>
      </w:r>
    </w:p>
    <w:p>
      <w:pPr>
        <w:spacing w:lineRule="auto" w:line="360"/>
        <w:ind w:firstLine="0" w:left="480"/>
        <w:jc w:val="both"/>
      </w:pPr>
      <w:r>
        <w:rPr>
          <w:rFonts w:ascii="Times New Roman" w:hAnsi="Times New Roman" w:eastAsia="宋体"/>
          <w:sz w:val="21"/>
        </w:rPr>
        <w:t>[11] ZHOU J, TROYANSKAYA O G. Predicting effects of noncoding variants with deep learning-based sequence model[J]. Nature Methods, 2015, 12(10): 931-934.</w:t>
      </w:r>
    </w:p>
    <w:p>
      <w:pPr>
        <w:spacing w:lineRule="auto" w:line="360"/>
        <w:ind w:firstLine="0" w:left="480"/>
        <w:jc w:val="both"/>
      </w:pPr>
      <w:r>
        <w:rPr>
          <w:rFonts w:ascii="Times New Roman" w:hAnsi="Times New Roman" w:eastAsia="宋体"/>
          <w:sz w:val="21"/>
        </w:rPr>
        <w:t>[12] AVSEC Ž, AGARWAL V, VISENTIN D, et al. Effective gene expression prediction from sequence by integrating long-range interactions[J]. Nature Methods, 2021, 18(10): 1196-1203.</w:t>
      </w:r>
    </w:p>
    <w:p>
      <w:pPr>
        <w:spacing w:lineRule="auto" w:line="360"/>
        <w:ind w:firstLine="0" w:left="480"/>
        <w:jc w:val="both"/>
      </w:pPr>
      <w:r>
        <w:rPr>
          <w:rFonts w:ascii="Times New Roman" w:hAnsi="Times New Roman" w:eastAsia="宋体"/>
          <w:sz w:val="21"/>
        </w:rPr>
        <w:t>[13] CHEN T, GUESTRIN C. XGBoost: a scalable tree boosting system[C]// Proceedings of the 22nd ACM SIGKDD International Conference on Knowledge Discovery and Data Mining. New York: ACM, 2016: 785-794.</w:t>
      </w:r>
    </w:p>
    <w:p>
      <w:pPr>
        <w:spacing w:lineRule="auto" w:line="360"/>
        <w:ind w:firstLine="0" w:left="480"/>
        <w:jc w:val="both"/>
      </w:pPr>
      <w:r>
        <w:rPr>
          <w:rFonts w:ascii="Times New Roman" w:hAnsi="Times New Roman" w:eastAsia="宋体"/>
          <w:sz w:val="21"/>
        </w:rPr>
        <w:t>[14] KE G, MENG Q, FINLEY T, et al. LightGBM: a highly efficient gradient boosting decision tree[C]// Advances in Neural Information Processing Systems 30. Red Hook: Curran Associates, 2017: 3146-3154.</w:t>
      </w:r>
    </w:p>
    <w:p>
      <w:pPr>
        <w:spacing w:lineRule="auto" w:line="360"/>
        <w:ind w:firstLine="0" w:left="480"/>
        <w:jc w:val="both"/>
      </w:pPr>
      <w:r>
        <w:rPr>
          <w:rFonts w:ascii="Times New Roman" w:hAnsi="Times New Roman" w:eastAsia="宋体"/>
          <w:sz w:val="21"/>
        </w:rPr>
        <w:t>[15] JAGADEESH K A, WENGER A M, BERGER M J, et al. M-CAP eliminates a majority of variants of uncertain significance in clinical exomes at high sensitivity[J]. Nature Genetics, 2016, 48(12): 1581-1586.</w:t>
      </w:r>
    </w:p>
    <w:p>
      <w:pPr>
        <w:spacing w:lineRule="auto" w:line="360"/>
        <w:ind w:firstLine="0" w:left="480"/>
        <w:jc w:val="both"/>
      </w:pPr>
      <w:r>
        <w:rPr>
          <w:rFonts w:ascii="Times New Roman" w:hAnsi="Times New Roman" w:eastAsia="宋体"/>
          <w:sz w:val="21"/>
        </w:rPr>
        <w:t>[16] PLATT J C. Probabilistic outputs for support vector machines and comparisons to regularized likelihood methods[M]// SMOLA A J, BARTLETT P, SCHÖLKOPF B, et al. Advances in Large Margin Classifiers. Cambridge: MIT Press, 1999: 61-74.</w:t>
      </w:r>
    </w:p>
    <w:p>
      <w:pPr>
        <w:spacing w:lineRule="auto" w:line="360"/>
        <w:ind w:firstLine="0" w:left="480"/>
        <w:jc w:val="both"/>
      </w:pPr>
      <w:r>
        <w:rPr>
          <w:rFonts w:ascii="Times New Roman" w:hAnsi="Times New Roman" w:eastAsia="宋体"/>
          <w:sz w:val="21"/>
        </w:rPr>
        <w:t>[17] ZADROZNY B, ELKAN C. Transforming classifier scores into accurate multiclass probability estimates[C]// Proceedings of the 8th ACM SIGKDD International Conference on Knowledge Discovery and Data Mining. New York: ACM, 2002: 694-699.</w:t>
      </w:r>
    </w:p>
    <w:p>
      <w:pPr>
        <w:spacing w:lineRule="auto" w:line="360"/>
        <w:ind w:firstLine="0" w:left="480"/>
        <w:jc w:val="both"/>
      </w:pPr>
      <w:r>
        <w:rPr>
          <w:rFonts w:ascii="Times New Roman" w:hAnsi="Times New Roman" w:eastAsia="宋体"/>
          <w:sz w:val="21"/>
        </w:rPr>
        <w:t>[18] OPENAI. GPT-4 technical report[R/OL]. (2023-03-15)[2025-03-01]. https://arxiv.org/abs/2303.08774.</w:t>
      </w:r>
    </w:p>
    <w:p>
      <w:pPr>
        <w:spacing w:lineRule="auto" w:line="360"/>
        <w:ind w:firstLine="0" w:left="480"/>
        <w:jc w:val="both"/>
      </w:pPr>
      <w:r>
        <w:rPr>
          <w:rFonts w:ascii="Times New Roman" w:hAnsi="Times New Roman" w:eastAsia="宋体"/>
          <w:sz w:val="21"/>
        </w:rPr>
        <w:t>[19] LEE S, SHEN J, YANG Y, et al. Large language models for rare disease variant interpretation[J]. npj Genomic Medicine, 2024, 9(1): 1-10.</w:t>
      </w:r>
    </w:p>
    <w:p>
      <w:pPr>
        <w:spacing w:lineRule="auto" w:line="360"/>
        <w:ind w:firstLine="0" w:left="480"/>
        <w:jc w:val="both"/>
      </w:pPr>
      <w:r>
        <w:rPr>
          <w:rFonts w:ascii="Times New Roman" w:hAnsi="Times New Roman" w:eastAsia="宋体"/>
          <w:sz w:val="21"/>
        </w:rPr>
        <w:t>[20] REUTER C M, KOHLER J N, BONNER D, et al. Yield of whole exome sequencing in undiagnosed patients facing insurance coverage barriers to genetic testing[J]. Journal of Genetic Counseling, 2018, 27(5): 1107-1118.</w:t>
      </w:r>
    </w:p>
    <w:p>
      <w:pPr>
        <w:spacing w:lineRule="auto" w:line="360"/>
        <w:ind w:firstLine="0" w:left="480"/>
        <w:jc w:val="both"/>
      </w:pPr>
      <w:r>
        <w:rPr>
          <w:rFonts w:ascii="Times New Roman" w:hAnsi="Times New Roman" w:eastAsia="宋体"/>
          <w:sz w:val="21"/>
        </w:rPr>
        <w:t>[21] POLLARD K S, HUBISZ M J, ROSENBLOOM K R, et al. Detection of nonneutral substitution rates on mammalian phylogenies[J]. Genome Research, 2010, 20(1): 110-121.</w:t>
      </w:r>
    </w:p>
    <w:p>
      <w:pPr>
        <w:spacing w:lineRule="auto" w:line="360"/>
        <w:ind w:firstLine="0" w:left="480"/>
        <w:jc w:val="both"/>
      </w:pPr>
      <w:r>
        <w:rPr>
          <w:rFonts w:ascii="Times New Roman" w:hAnsi="Times New Roman" w:eastAsia="宋体"/>
          <w:sz w:val="21"/>
        </w:rPr>
        <w:t>[22] GUO C, PLEISS G, SUN Y, et al. On calibration of modern neural networks[C]// Proceedings of the 34th International Conference on Machine Learning. New York: PMLR, 2017: 1321-1330.</w:t>
      </w:r>
    </w:p>
    <w:p>
      <w:pPr>
        <w:spacing w:lineRule="auto" w:line="360"/>
        <w:ind w:firstLine="0" w:left="480"/>
        <w:jc w:val="both"/>
      </w:pPr>
      <w:r>
        <w:rPr>
          <w:rFonts w:ascii="Times New Roman" w:hAnsi="Times New Roman" w:eastAsia="宋体"/>
          <w:sz w:val="21"/>
        </w:rPr>
        <w:t>[23] WEI J, WANG X, SCHUURMANS D, et al. Chain-of-thought prompting elicits reasoning in large language models[C]// Advances in Neural Information Processing Systems 35. Red Hook: Curran Associates, 2022: 24824-24837.</w:t>
      </w:r>
    </w:p>
    <w:p>
      <w:pPr>
        <w:spacing w:lineRule="auto" w:line="360"/>
        <w:ind w:firstLine="0" w:left="480"/>
        <w:jc w:val="both"/>
      </w:pPr>
      <w:r>
        <w:rPr>
          <w:rFonts w:ascii="Times New Roman" w:hAnsi="Times New Roman" w:eastAsia="宋体"/>
          <w:sz w:val="21"/>
        </w:rPr>
        <w:t>[24] LANDRUM M J, LEE J M, BENSON M, et al. ClinVar: improving access to variant interpretations and supporting evidence[J]. Nucleic Acids Research, 2018, 46(D1): D1062-D1067.</w:t>
      </w:r>
    </w:p>
    <w:p>
      <w:pPr>
        <w:spacing w:lineRule="auto" w:line="360"/>
        <w:ind w:firstLine="0" w:left="480"/>
        <w:jc w:val="both"/>
      </w:pPr>
      <w:r>
        <w:rPr>
          <w:rFonts w:ascii="Times New Roman" w:hAnsi="Times New Roman" w:eastAsia="宋体"/>
          <w:sz w:val="21"/>
        </w:rPr>
        <w:t>[25] LUNDBERG S M, LEE S I. A unified approach to interpreting model predictions[C]// Advances in Neural Information Processing Systems 30. Red Hook: Curran Associates, 2017: 4765-4774.</w:t>
      </w:r>
    </w:p>
    <w:p>
      <w:pPr>
        <w:spacing w:lineRule="auto" w:line="360"/>
        <w:ind w:firstLine="0" w:left="480"/>
        <w:jc w:val="both"/>
      </w:pPr>
      <w:r>
        <w:rPr>
          <w:rFonts w:ascii="Times New Roman" w:hAnsi="Times New Roman" w:eastAsia="宋体"/>
          <w:sz w:val="21"/>
        </w:rPr>
        <w:t>[26] MCLAREN W, GIL L, HUNT S E, et al. The Ensembl variant effect predictor[J]. Genome Biology, 2016, 17(1): 122.</w:t>
      </w:r>
    </w:p>
    <w:p>
      <w:pPr>
        <w:spacing w:lineRule="auto" w:line="360"/>
        <w:ind w:firstLine="0" w:left="480"/>
        <w:jc w:val="both"/>
      </w:pPr>
      <w:r>
        <w:rPr>
          <w:rFonts w:ascii="Times New Roman" w:hAnsi="Times New Roman" w:eastAsia="宋体"/>
          <w:sz w:val="21"/>
        </w:rPr>
        <w:t>[27] KARCZEWSKI K J, FRANCIOLI L C, TIAO G, et al. Variation across 141,456 human exomes and genomes reveals the spectrum of loss-of-function intolerance across human protein-coding genes[J]. bioRxiv, 2019: 531210.</w:t>
      </w:r>
    </w:p>
    <w:p>
      <w:pPr>
        <w:spacing w:lineRule="auto" w:line="360"/>
        <w:ind w:firstLine="0" w:left="480"/>
        <w:jc w:val="both"/>
      </w:pPr>
      <w:r>
        <w:rPr>
          <w:rFonts w:ascii="Times New Roman" w:hAnsi="Times New Roman" w:eastAsia="宋体"/>
          <w:sz w:val="21"/>
        </w:rPr>
        <w:t>[28] MIGA K H, KOREN S, RHIE A, et al. Telomere-to-telomere assembly of a complete human X chromosome[J]. Nature, 2020, 585(7823): 79-84.</w:t>
      </w:r>
    </w:p>
    <w:p>
      <w:pPr>
        <w:spacing w:lineRule="auto" w:line="360"/>
        <w:ind w:firstLine="0" w:left="480"/>
        <w:jc w:val="both"/>
      </w:pPr>
      <w:r>
        <w:rPr>
          <w:rFonts w:ascii="Times New Roman" w:hAnsi="Times New Roman" w:eastAsia="宋体"/>
          <w:sz w:val="21"/>
        </w:rPr>
        <w:t>[29] VASWANI A, SHAZEER N, PARMAR N, et al. Attention is all you need[C]// Advances in Neural Information Processing Systems 30. Red Hook: Curran Associates, 2017: 5998-6008.</w:t>
      </w:r>
    </w:p>
    <w:p>
      <w:pPr>
        <w:spacing w:lineRule="auto" w:line="360"/>
        <w:ind w:firstLine="0" w:left="480"/>
        <w:jc w:val="both"/>
      </w:pPr>
      <w:r>
        <w:rPr>
          <w:rFonts w:ascii="Times New Roman" w:hAnsi="Times New Roman" w:eastAsia="宋体"/>
          <w:sz w:val="21"/>
        </w:rPr>
        <w:t>[30] JUMPER J, EVANS R, PRITZEL A, et al. Highly accurate protein structure prediction with AlphaFold[J]. Nature, 2021, 596(7873): 583-589.</w:t>
      </w:r>
    </w:p>
    <w:p>
      <w:r>
        <w:br w:type="page"/>
      </w:r>
    </w:p>
    <w:p>
      <w:pPr>
        <w:spacing w:before="360" w:after="240" w:lineRule="auto" w:line="360"/>
        <w:jc w:val="center"/>
      </w:pPr>
      <w:r>
        <w:rPr>
          <w:rFonts w:ascii="Times New Roman" w:hAnsi="Times New Roman" w:eastAsia="黑体"/>
          <w:b/>
          <w:sz w:val="32"/>
        </w:rPr>
        <w:t>致  谢</w:t>
      </w:r>
    </w:p>
    <w:p>
      <w:pPr>
        <w:spacing w:lineRule="auto" w:line="360" w:before="0" w:after="0"/>
        <w:ind w:firstLine="480"/>
        <w:jc w:val="both"/>
      </w:pPr>
      <w:r>
        <w:rPr>
          <w:rFonts w:ascii="Times New Roman" w:hAnsi="Times New Roman" w:eastAsia="宋体"/>
          <w:sz w:val="24"/>
        </w:rPr>
        <w:t>本文是在导师的悉心指导下完成的，在此谨向导师致以最诚挚的感谢。导师严谨的治学态度、深厚的学术造诣和对科研工作的热情深深影响了我，使我在毕业设计过程中不仅学到了专业知识，更学到了科学研究的方法和精神。</w:t>
      </w:r>
    </w:p>
    <w:p>
      <w:pPr>
        <w:spacing w:lineRule="auto" w:line="360" w:before="0" w:after="0"/>
        <w:ind w:firstLine="480"/>
        <w:jc w:val="both"/>
      </w:pPr>
      <w:r>
        <w:rPr>
          <w:rFonts w:ascii="Times New Roman" w:hAnsi="Times New Roman" w:eastAsia="宋体"/>
          <w:sz w:val="24"/>
        </w:rPr>
        <w:t>感谢东南大学计算机科学与工程学院为我提供了良好的学习和研究环境，感谢各位任课教师四年来的辛勤教导。</w:t>
      </w:r>
    </w:p>
    <w:p>
      <w:pPr>
        <w:spacing w:lineRule="auto" w:line="360" w:before="0" w:after="0"/>
        <w:ind w:firstLine="480"/>
        <w:jc w:val="both"/>
      </w:pPr>
      <w:r>
        <w:rPr>
          <w:rFonts w:ascii="Times New Roman" w:hAnsi="Times New Roman" w:eastAsia="宋体"/>
          <w:sz w:val="24"/>
        </w:rPr>
        <w:t>感谢Genos（华大智造）和Moonshot AI（月之暗面）提供的API服务，使本文的实验得以顺利进行。感谢ClinVar、Ensembl、gnomAD等公共数据库的维护团队，他们的工作为本研究提供了宝贵的数据基础。</w:t>
      </w:r>
    </w:p>
    <w:p>
      <w:pPr>
        <w:spacing w:lineRule="auto" w:line="360" w:before="0" w:after="0"/>
        <w:ind w:firstLine="480"/>
        <w:jc w:val="both"/>
      </w:pPr>
      <w:r>
        <w:rPr>
          <w:rFonts w:ascii="Times New Roman" w:hAnsi="Times New Roman" w:eastAsia="宋体"/>
          <w:sz w:val="24"/>
        </w:rPr>
        <w:t>感谢同学们在学习和生活中给予的帮助与支持，与大家共同学习、共同进步的经历将是我大学生涯中最珍贵的记忆。</w:t>
      </w:r>
    </w:p>
    <w:p>
      <w:pPr>
        <w:spacing w:lineRule="auto" w:line="360" w:before="0" w:after="0"/>
        <w:ind w:firstLine="480"/>
        <w:jc w:val="both"/>
      </w:pPr>
      <w:r>
        <w:rPr>
          <w:rFonts w:ascii="Times New Roman" w:hAnsi="Times New Roman" w:eastAsia="宋体"/>
          <w:sz w:val="24"/>
        </w:rPr>
        <w:t>最后，感谢我的家人多年来对我学业的支持和鼓励，你们的关爱是我前行的动力。</w:t>
      </w:r>
    </w:p>
    <w:sectPr w:rsidR="00FC693F" w:rsidRPr="0006063C" w:rsidSect="00034616">
      <w:head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8"/>
      </w:rPr>
      <w:t>东南大学本科毕业设计（论文）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