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Ügyvédi előfizetéses platform – nyitott kérdések</w:t>
      </w:r>
    </w:p>
    <w:p>
      <w:r>
        <w:t>Kérjük, a „Válasz” oszlopba írjatok röviden. Ahol nem tudtok még dönteni, jelöljétek „később”-nek – ezzel is tudunk haladni. A „Miért kérdezzük?” oszlop megmutatja, mire hat a válasz.</w:t>
      </w:r>
    </w:p>
    <w:p>
      <w:pPr>
        <w:pStyle w:val="Heading1"/>
      </w:pPr>
      <w:r>
        <w:t>Üzlet és jog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10"/>
          </w:tcPr>
          <w:p>
            <w:r>
              <w:t>#</w:t>
            </w:r>
          </w:p>
        </w:tc>
        <w:tc>
          <w:tcPr>
            <w:tcW w:type="dxa" w:w="4082"/>
          </w:tcPr>
          <w:p>
            <w:r>
              <w:t>Kérdés</w:t>
            </w:r>
          </w:p>
        </w:tc>
        <w:tc>
          <w:tcPr>
            <w:tcW w:type="dxa" w:w="2268"/>
          </w:tcPr>
          <w:p>
            <w:r>
              <w:t>Miért kérdezzük?</w:t>
            </w:r>
          </w:p>
        </w:tc>
        <w:tc>
          <w:tcPr>
            <w:tcW w:type="dxa" w:w="2835"/>
          </w:tcPr>
          <w:p>
            <w:r>
              <w:t>Válasz</w:t>
            </w:r>
          </w:p>
        </w:tc>
      </w:tr>
      <w:tr>
        <w:tc>
          <w:tcPr>
            <w:tcW w:type="dxa" w:w="510"/>
          </w:tcPr>
          <w:p>
            <w:r>
              <w:t>1</w:t>
            </w:r>
          </w:p>
        </w:tc>
        <w:tc>
          <w:tcPr>
            <w:tcW w:type="dxa" w:w="4082"/>
          </w:tcPr>
          <w:p>
            <w:r>
              <w:t>Ki a jogi szolgáltató (egyéni ügyvéd / iroda)? Hány ügyvéd és asszisztens használja majd az admin felületet?</w:t>
            </w:r>
          </w:p>
        </w:tc>
        <w:tc>
          <w:tcPr>
            <w:tcW w:type="dxa" w:w="2268"/>
          </w:tcPr>
          <w:p>
            <w:r>
              <w:t>Meghatározza a szerepköröket és a jogosultsági modellt.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2</w:t>
            </w:r>
          </w:p>
        </w:tc>
        <w:tc>
          <w:tcPr>
            <w:tcW w:type="dxa" w:w="4082"/>
          </w:tcPr>
          <w:p>
            <w:r>
              <w:t>Végrendelet: sablont szeretnétek, vagy csak előkészítő kérdőívet ügyvédi véglegesítéssel? (A formai szabályok szigorúak: kézírás, két tanú, ellenjegyzés.)</w:t>
            </w:r>
          </w:p>
        </w:tc>
        <w:tc>
          <w:tcPr>
            <w:tcW w:type="dxa" w:w="2268"/>
          </w:tcPr>
          <w:p>
            <w:r>
              <w:t>Eldönti, kell-e „ügyvédi ellenjegyzés szükséges” folyamat a sablonokhoz.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3</w:t>
            </w:r>
          </w:p>
        </w:tc>
        <w:tc>
          <w:tcPr>
            <w:tcW w:type="dxa" w:w="4082"/>
          </w:tcPr>
          <w:p>
            <w:r>
              <w:t>Mely szerződéstípusok kerüljenek az induló katalógusba (kb. 10–15)? Pl. adásvétel, bérlet, megbízás, vállalkozás, munkaszerződés, titoktartás, tartozáselismerés, ajándékozás.</w:t>
            </w:r>
          </w:p>
        </w:tc>
        <w:tc>
          <w:tcPr>
            <w:tcW w:type="dxa" w:w="2268"/>
          </w:tcPr>
          <w:p>
            <w:r>
              <w:t>Ebből készül az első sablonkészlet.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4</w:t>
            </w:r>
          </w:p>
        </w:tc>
        <w:tc>
          <w:tcPr>
            <w:tcW w:type="dxa" w:w="4082"/>
          </w:tcPr>
          <w:p>
            <w:r>
              <w:t>Mit tartalmaz pontosan az előfizetés? Korlátlan sablonhasználat vagy havi keret? Benne van-e ügyvédi konzultáció?</w:t>
            </w:r>
          </w:p>
        </w:tc>
        <w:tc>
          <w:tcPr>
            <w:tcW w:type="dxa" w:w="2268"/>
          </w:tcPr>
          <w:p>
            <w:r>
              <w:t>Csomag- és keretmodell (Plan, PlanEntitlement).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5</w:t>
            </w:r>
          </w:p>
        </w:tc>
        <w:tc>
          <w:tcPr>
            <w:tcW w:type="dxa" w:w="4082"/>
          </w:tcPr>
          <w:p>
            <w:r>
              <w:t>Árazás: havi/éves díj, külön csomag magánszemélynek és cégnek? Van tervezett ársáv?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6</w:t>
            </w:r>
          </w:p>
        </w:tc>
        <w:tc>
          <w:tcPr>
            <w:tcW w:type="dxa" w:w="4082"/>
          </w:tcPr>
          <w:p>
            <w:r>
              <w:t>Szükséges-e tőletek ÁSZF, „nem minősül jogi tanácsnak” kizáró szöveg, felelősségbiztosítási információ? Van kész szövegetek?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7</w:t>
            </w:r>
          </w:p>
        </w:tc>
        <w:tc>
          <w:tcPr>
            <w:tcW w:type="dxa" w:w="4082"/>
          </w:tcPr>
          <w:p>
            <w:r>
              <w:t>Egyeztettetek-e a Kamarával az online jogi szolgáltatás és hirdetés szabályairól?</w:t>
            </w:r>
          </w:p>
        </w:tc>
        <w:tc>
          <w:tcPr>
            <w:tcW w:type="dxa" w:w="2268"/>
          </w:tcPr>
          <w:p>
            <w:r>
              <w:t>Megfelelőségi kockázat.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1"/>
      </w:pPr>
      <w:r>
        <w:t>Felhasználók és adatok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10"/>
          </w:tcPr>
          <w:p>
            <w:r>
              <w:t>#</w:t>
            </w:r>
          </w:p>
        </w:tc>
        <w:tc>
          <w:tcPr>
            <w:tcW w:type="dxa" w:w="4082"/>
          </w:tcPr>
          <w:p>
            <w:r>
              <w:t>Kérdés</w:t>
            </w:r>
          </w:p>
        </w:tc>
        <w:tc>
          <w:tcPr>
            <w:tcW w:type="dxa" w:w="2268"/>
          </w:tcPr>
          <w:p>
            <w:r>
              <w:t>Miért kérdezzük?</w:t>
            </w:r>
          </w:p>
        </w:tc>
        <w:tc>
          <w:tcPr>
            <w:tcW w:type="dxa" w:w="2835"/>
          </w:tcPr>
          <w:p>
            <w:r>
              <w:t>Válasz</w:t>
            </w:r>
          </w:p>
        </w:tc>
      </w:tr>
      <w:tr>
        <w:tc>
          <w:tcPr>
            <w:tcW w:type="dxa" w:w="510"/>
          </w:tcPr>
          <w:p>
            <w:r>
              <w:t>8</w:t>
            </w:r>
          </w:p>
        </w:tc>
        <w:tc>
          <w:tcPr>
            <w:tcW w:type="dxa" w:w="4082"/>
          </w:tcPr>
          <w:p>
            <w:r>
              <w:t>Célcsoport: magánszemélyek, cégek, vagy mindkettő? Kell-e több felhasználó egy céghez?</w:t>
            </w:r>
          </w:p>
        </w:tc>
        <w:tc>
          <w:tcPr>
            <w:tcW w:type="dxa" w:w="2268"/>
          </w:tcPr>
          <w:p>
            <w:r>
              <w:t>Organization/OrgMember modell.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9</w:t>
            </w:r>
          </w:p>
        </w:tc>
        <w:tc>
          <w:tcPr>
            <w:tcW w:type="dxa" w:w="4082"/>
          </w:tcPr>
          <w:p>
            <w:r>
              <w:t>Milyen személyes adatok kellenek a szerződésekhez (adóazonosító, anyja neve, lakcím, személyi igazolvány száma)?</w:t>
            </w:r>
          </w:p>
        </w:tc>
        <w:tc>
          <w:tcPr>
            <w:tcW w:type="dxa" w:w="2268"/>
          </w:tcPr>
          <w:p>
            <w:r>
              <w:t>Adatminimalizálás, mező-szintű titkosítás.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10</w:t>
            </w:r>
          </w:p>
        </w:tc>
        <w:tc>
          <w:tcPr>
            <w:tcW w:type="dxa" w:w="4082"/>
          </w:tcPr>
          <w:p>
            <w:r>
              <w:t>Mennyi ideig kell megőrizni az ügyfél-dokumentumokat és az ügyeket? Mikor töröljünk?</w:t>
            </w:r>
          </w:p>
        </w:tc>
        <w:tc>
          <w:tcPr>
            <w:tcW w:type="dxa" w:w="2268"/>
          </w:tcPr>
          <w:p>
            <w:r>
              <w:t>File.deleteAfter, törlési folyamat.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11</w:t>
            </w:r>
          </w:p>
        </w:tc>
        <w:tc>
          <w:tcPr>
            <w:tcW w:type="dxa" w:w="4082"/>
          </w:tcPr>
          <w:p>
            <w:r>
              <w:t>Kell-e elektronikus aláírás (AVDH, KAÜ, DocuSign / Adobe Sign), vagy elég a PDF-letöltés?</w:t>
            </w:r>
          </w:p>
        </w:tc>
        <w:tc>
          <w:tcPr>
            <w:tcW w:type="dxa" w:w="2268"/>
          </w:tcPr>
          <w:p>
            <w:r>
              <w:t>Integrációs terv.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12</w:t>
            </w:r>
          </w:p>
        </w:tc>
        <w:tc>
          <w:tcPr>
            <w:tcW w:type="dxa" w:w="4082"/>
          </w:tcPr>
          <w:p>
            <w:r>
              <w:t>Kell-e NAV- vagy ügyfélkapu-integráció (adózói adatok betöltése), vagy elég a tudástár?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1"/>
      </w:pPr>
      <w:r>
        <w:t>Tudástár és AI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10"/>
          </w:tcPr>
          <w:p>
            <w:r>
              <w:t>#</w:t>
            </w:r>
          </w:p>
        </w:tc>
        <w:tc>
          <w:tcPr>
            <w:tcW w:type="dxa" w:w="4082"/>
          </w:tcPr>
          <w:p>
            <w:r>
              <w:t>Kérdés</w:t>
            </w:r>
          </w:p>
        </w:tc>
        <w:tc>
          <w:tcPr>
            <w:tcW w:type="dxa" w:w="2268"/>
          </w:tcPr>
          <w:p>
            <w:r>
              <w:t>Miért kérdezzük?</w:t>
            </w:r>
          </w:p>
        </w:tc>
        <w:tc>
          <w:tcPr>
            <w:tcW w:type="dxa" w:w="2835"/>
          </w:tcPr>
          <w:p>
            <w:r>
              <w:t>Válasz</w:t>
            </w:r>
          </w:p>
        </w:tc>
      </w:tr>
      <w:tr>
        <w:tc>
          <w:tcPr>
            <w:tcW w:type="dxa" w:w="510"/>
          </w:tcPr>
          <w:p>
            <w:r>
              <w:t>13</w:t>
            </w:r>
          </w:p>
        </w:tc>
        <w:tc>
          <w:tcPr>
            <w:tcW w:type="dxa" w:w="4082"/>
          </w:tcPr>
          <w:p>
            <w:r>
              <w:t>Ki írja és tartja naprakészen a tudástár tartalmát? Kell-e automatikus jogszabályfigyelés (njt.hu, NAV)?</w:t>
            </w:r>
          </w:p>
        </w:tc>
        <w:tc>
          <w:tcPr>
            <w:tcW w:type="dxa" w:w="2268"/>
          </w:tcPr>
          <w:p>
            <w:r>
              <w:t>Szinkron-folyamat és felülvizsgálati határidők.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14</w:t>
            </w:r>
          </w:p>
        </w:tc>
        <w:tc>
          <w:tcPr>
            <w:tcW w:type="dxa" w:w="4082"/>
          </w:tcPr>
          <w:p>
            <w:r>
              <w:t>A chat szabad szöveggel válaszoljon a tudástár alapján, vagy csak előre megírt GYIK-ből?</w:t>
            </w:r>
          </w:p>
        </w:tc>
        <w:tc>
          <w:tcPr>
            <w:tcW w:type="dxa" w:w="2268"/>
          </w:tcPr>
          <w:p>
            <w:r>
              <w:t>Kockázat és költség.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15</w:t>
            </w:r>
          </w:p>
        </w:tc>
        <w:tc>
          <w:tcPr>
            <w:tcW w:type="dxa" w:w="4082"/>
          </w:tcPr>
          <w:p>
            <w:r>
              <w:t>A Gemini-felülvizsgálat csak a saját sablonjainkra fusson, vagy az ügyfél által feltöltött idegen szerződésre is?</w:t>
            </w:r>
          </w:p>
        </w:tc>
        <w:tc>
          <w:tcPr>
            <w:tcW w:type="dxa" w:w="2268"/>
          </w:tcPr>
          <w:p>
            <w:r>
              <w:t>Az utóbbi nagyobb kockázat és ügyvédi ellenőrzési igény.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16</w:t>
            </w:r>
          </w:p>
        </w:tc>
        <w:tc>
          <w:tcPr>
            <w:tcW w:type="dxa" w:w="4082"/>
          </w:tcPr>
          <w:p>
            <w:r>
              <w:t>Minden AI-riportot ügyvéd néz át, vagy megjelenhet azonnal figyelmeztetéssel?</w:t>
            </w:r>
          </w:p>
        </w:tc>
        <w:tc>
          <w:tcPr>
            <w:tcW w:type="dxa" w:w="2268"/>
          </w:tcPr>
          <w:p>
            <w:r>
              <w:t>Ügyvédi ellenőrzési sor mérete.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17</w:t>
            </w:r>
          </w:p>
        </w:tc>
        <w:tc>
          <w:tcPr>
            <w:tcW w:type="dxa" w:w="4082"/>
          </w:tcPr>
          <w:p>
            <w:r>
              <w:t>Elfogadható-e a Google Vertex AI (EU régió) használata az ügyvédi titoktartás szempontjából? Kell-e ügyfél-hozzájárulás az AI-feldolgozáshoz?</w:t>
            </w:r>
          </w:p>
        </w:tc>
        <w:tc>
          <w:tcPr>
            <w:tcW w:type="dxa" w:w="2268"/>
          </w:tcPr>
          <w:p>
            <w:r>
              <w:t>Adatkezelési és titoktartási döntés.</w:t>
            </w:r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1"/>
      </w:pPr>
      <w:r>
        <w:t>Fizetés és számlázás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10"/>
          </w:tcPr>
          <w:p>
            <w:r>
              <w:t>#</w:t>
            </w:r>
          </w:p>
        </w:tc>
        <w:tc>
          <w:tcPr>
            <w:tcW w:type="dxa" w:w="4082"/>
          </w:tcPr>
          <w:p>
            <w:r>
              <w:t>Kérdés</w:t>
            </w:r>
          </w:p>
        </w:tc>
        <w:tc>
          <w:tcPr>
            <w:tcW w:type="dxa" w:w="2268"/>
          </w:tcPr>
          <w:p>
            <w:r>
              <w:t>Miért kérdezzük?</w:t>
            </w:r>
          </w:p>
        </w:tc>
        <w:tc>
          <w:tcPr>
            <w:tcW w:type="dxa" w:w="2835"/>
          </w:tcPr>
          <w:p>
            <w:r>
              <w:t>Válasz</w:t>
            </w:r>
          </w:p>
        </w:tc>
      </w:tr>
      <w:tr>
        <w:tc>
          <w:tcPr>
            <w:tcW w:type="dxa" w:w="510"/>
          </w:tcPr>
          <w:p>
            <w:r>
              <w:t>18</w:t>
            </w:r>
          </w:p>
        </w:tc>
        <w:tc>
          <w:tcPr>
            <w:tcW w:type="dxa" w:w="4082"/>
          </w:tcPr>
          <w:p>
            <w:r>
              <w:t>Fizetési szolgáltató: Stripe, Barion vagy OTP SimplePay?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19</w:t>
            </w:r>
          </w:p>
        </w:tc>
        <w:tc>
          <w:tcPr>
            <w:tcW w:type="dxa" w:w="4082"/>
          </w:tcPr>
          <w:p>
            <w:r>
              <w:t>Számlázás: Billingo, Számlázz.hu vagy más?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20</w:t>
            </w:r>
          </w:p>
        </w:tc>
        <w:tc>
          <w:tcPr>
            <w:tcW w:type="dxa" w:w="4082"/>
          </w:tcPr>
          <w:p>
            <w:r>
              <w:t>Az árajánlat elfogadása után online fizetés kell, vagy átutalás is megfelel?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</w:tbl>
    <w:p>
      <w:pPr>
        <w:pStyle w:val="Heading1"/>
      </w:pPr>
      <w:r>
        <w:t>Technikai és arculati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10"/>
          </w:tcPr>
          <w:p>
            <w:r>
              <w:t>#</w:t>
            </w:r>
          </w:p>
        </w:tc>
        <w:tc>
          <w:tcPr>
            <w:tcW w:type="dxa" w:w="4082"/>
          </w:tcPr>
          <w:p>
            <w:r>
              <w:t>Kérdés</w:t>
            </w:r>
          </w:p>
        </w:tc>
        <w:tc>
          <w:tcPr>
            <w:tcW w:type="dxa" w:w="2268"/>
          </w:tcPr>
          <w:p>
            <w:r>
              <w:t>Miért kérdezzük?</w:t>
            </w:r>
          </w:p>
        </w:tc>
        <w:tc>
          <w:tcPr>
            <w:tcW w:type="dxa" w:w="2835"/>
          </w:tcPr>
          <w:p>
            <w:r>
              <w:t>Válasz</w:t>
            </w:r>
          </w:p>
        </w:tc>
      </w:tr>
      <w:tr>
        <w:tc>
          <w:tcPr>
            <w:tcW w:type="dxa" w:w="510"/>
          </w:tcPr>
          <w:p>
            <w:r>
              <w:t>21</w:t>
            </w:r>
          </w:p>
        </w:tc>
        <w:tc>
          <w:tcPr>
            <w:tcW w:type="dxa" w:w="4082"/>
          </w:tcPr>
          <w:p>
            <w:r>
              <w:t>Csak magyar nyelv, vagy később angol is?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22</w:t>
            </w:r>
          </w:p>
        </w:tc>
        <w:tc>
          <w:tcPr>
            <w:tcW w:type="dxa" w:w="4082"/>
          </w:tcPr>
          <w:p>
            <w:r>
              <w:t>Van meglévő GCP-szervezet/projekt? Régiópreferencia (javaslat: europe-west3 Frankfurt vagy europe-central2 Varsó)?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23</w:t>
            </w:r>
          </w:p>
        </w:tc>
        <w:tc>
          <w:tcPr>
            <w:tcW w:type="dxa" w:w="4082"/>
          </w:tcPr>
          <w:p>
            <w:r>
              <w:t>Van márkanév, logó, színvilág, saját domain?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24</w:t>
            </w:r>
          </w:p>
        </w:tc>
        <w:tc>
          <w:tcPr>
            <w:tcW w:type="dxa" w:w="4082"/>
          </w:tcPr>
          <w:p>
            <w:r>
              <w:t>Rendben van a Next.js + Prisma + PostgreSQL + Cloud Run technológiai javaslat?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25</w:t>
            </w:r>
          </w:p>
        </w:tc>
        <w:tc>
          <w:tcPr>
            <w:tcW w:type="dxa" w:w="4082"/>
          </w:tcPr>
          <w:p>
            <w:r>
              <w:t>A mintaoldalak (NCOA, CNBC, LawDepot) melyik elemei legyenek kötelezően megvalósítva (pl. lépésenkénti kérdőív, összehasonlító táblázat)?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510"/>
          </w:tcPr>
          <w:p>
            <w:r>
              <w:t>26</w:t>
            </w:r>
          </w:p>
        </w:tc>
        <w:tc>
          <w:tcPr>
            <w:tcW w:type="dxa" w:w="4082"/>
          </w:tcPr>
          <w:p>
            <w:r>
              <w:t>Mikorra tervezitek a pilotot, és hány pilot ügyfél van?</w:t>
            </w:r>
          </w:p>
        </w:tc>
        <w:tc>
          <w:tcPr>
            <w:tcW w:type="dxa" w:w="2268"/>
          </w:tcPr>
          <w:p>
            <w:r>
              <w:t>Ütemezés.</w:t>
            </w:r>
          </w:p>
        </w:tc>
        <w:tc>
          <w:tcPr>
            <w:tcW w:type="dxa" w:w="2835"/>
          </w:tcPr>
          <w:p>
            <w:r/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