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6E0FF">
      <w:pPr>
        <w:snapToGrid w:val="0"/>
        <w:spacing w:line="578" w:lineRule="exact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sz w:val="44"/>
        </w:rPr>
        <w:pict>
          <v:shape id="_x0000_s1026" o:spid="_x0000_s1026" o:spt="136" type="#_x0000_t136" style="position:absolute;left:0pt;margin-left:0.3pt;margin-top:17.65pt;height:30.8pt;width:453pt;z-index:251660288;mso-width-relative:page;mso-height-relative:page;" fillcolor="#FF0000" filled="t" stroked="t" coordsize="21600,21600" adj="10800">
            <v:path/>
            <v:fill on="t" color2="#FFFFFF" focussize="0,0"/>
            <v:stroke color="#FF0000"/>
            <v:imagedata o:title=""/>
            <o:lock v:ext="edit" aspectratio="f"/>
            <v:textpath on="t" fitshape="t" fitpath="t" trim="t" xscale="f" string="重庆对外经贸学院教务处" style="font-family:方正小标宋_GBK;font-size:32pt;v-rotate-letters:f;v-same-letter-heights:f;v-text-align:center;v-text-spacing:78650f;"/>
          </v:shape>
        </w:pict>
      </w:r>
    </w:p>
    <w:p w14:paraId="7879712C">
      <w:pPr>
        <w:snapToGrid w:val="0"/>
        <w:spacing w:line="578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479E25B9">
      <w:pPr>
        <w:snapToGrid w:val="0"/>
        <w:spacing w:line="240" w:lineRule="exact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15240</wp:posOffset>
                </wp:positionV>
                <wp:extent cx="6120130" cy="0"/>
                <wp:effectExtent l="0" t="38100" r="1397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76200" cap="flat" cmpd="thickThin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15pt;margin-top:1.2pt;height:0pt;width:481.9pt;z-index:251661312;mso-width-relative:page;mso-height-relative:page;" filled="f" stroked="t" coordsize="21600,21600" o:gfxdata="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bkvvvXAAAABwEAAA8AAAAAAAAAAQAgAAAAIgAAAGRycy9kb3ducmV2Lnht&#10;bFBLAQIUABQAAAAIAIdO4kAu6s7e+gEAAOsDAAAOAAAAAAAAAAEAIAAAACYBAABkcnMvZTJvRG9j&#10;LnhtbFBLBQYAAAAABgAGAFkBAACSBQAAAAA=&#10;">
                <v:fill on="f" focussize="0,0"/>
                <v:stroke weight="6pt" color="#FF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1189BA1E">
      <w:pPr>
        <w:spacing w:line="440" w:lineRule="exact"/>
        <w:jc w:val="right"/>
        <w:rPr>
          <w:rFonts w:hint="default" w:ascii="方正仿宋_GBK" w:hAnsi="宋体" w:eastAsia="方正仿宋_GBK"/>
          <w:bCs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宋体" w:eastAsia="方正仿宋_GBK"/>
          <w:sz w:val="32"/>
          <w:szCs w:val="32"/>
        </w:rPr>
        <w:t>〔20</w:t>
      </w:r>
      <w:r>
        <w:rPr>
          <w:rFonts w:hint="eastAsia" w:ascii="方正仿宋_GBK" w:hAnsi="宋体" w:eastAsia="方正仿宋_GBK"/>
          <w:sz w:val="32"/>
          <w:szCs w:val="32"/>
          <w:lang w:val="en-US" w:eastAsia="zh-CN"/>
        </w:rPr>
        <w:t>25</w:t>
      </w:r>
      <w:r>
        <w:rPr>
          <w:rFonts w:hint="eastAsia" w:ascii="方正仿宋_GBK" w:hAnsi="宋体" w:eastAsia="方正仿宋_GBK"/>
          <w:sz w:val="32"/>
          <w:szCs w:val="32"/>
        </w:rPr>
        <w:t xml:space="preserve">〕— </w:t>
      </w:r>
      <w:r>
        <w:rPr>
          <w:rFonts w:hint="eastAsia" w:ascii="方正仿宋_GBK" w:hAnsi="宋体" w:eastAsia="方正仿宋_GBK"/>
          <w:sz w:val="32"/>
          <w:szCs w:val="32"/>
          <w:lang w:val="en-US" w:eastAsia="zh-CN"/>
        </w:rPr>
        <w:t>45</w:t>
      </w:r>
    </w:p>
    <w:p w14:paraId="428F5C73">
      <w:pPr>
        <w:spacing w:line="578" w:lineRule="exact"/>
        <w:rPr>
          <w:rFonts w:ascii="微软雅黑" w:hAnsi="微软雅黑" w:eastAsia="微软雅黑" w:cs="微软雅黑"/>
          <w:bCs/>
          <w:sz w:val="16"/>
          <w:szCs w:val="16"/>
        </w:rPr>
      </w:pPr>
    </w:p>
    <w:p w14:paraId="0393073F">
      <w:pPr>
        <w:snapToGrid w:val="0"/>
        <w:spacing w:line="520" w:lineRule="exact"/>
        <w:jc w:val="center"/>
        <w:rPr>
          <w:rFonts w:hint="eastAsia" w:ascii="方正小标宋简体" w:hAnsi="方正小标宋_GBK" w:eastAsia="方正小标宋简体" w:cs="方正小标宋_GBK"/>
          <w:bCs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bCs/>
          <w:sz w:val="44"/>
          <w:szCs w:val="44"/>
        </w:rPr>
        <w:t>重庆对外经贸学院</w:t>
      </w:r>
      <w:r>
        <w:rPr>
          <w:rFonts w:hint="eastAsia" w:ascii="方正小标宋简体" w:hAnsi="方正小标宋_GBK" w:eastAsia="方正小标宋简体" w:cs="方正小标宋_GBK"/>
          <w:bCs/>
          <w:sz w:val="44"/>
          <w:szCs w:val="44"/>
          <w:lang w:eastAsia="zh-CN"/>
        </w:rPr>
        <w:t>教务</w:t>
      </w:r>
      <w:r>
        <w:rPr>
          <w:rFonts w:hint="eastAsia" w:ascii="方正小标宋简体" w:hAnsi="方正小标宋_GBK" w:eastAsia="方正小标宋简体" w:cs="方正小标宋_GBK"/>
          <w:bCs/>
          <w:sz w:val="44"/>
          <w:szCs w:val="44"/>
        </w:rPr>
        <w:t>处</w:t>
      </w:r>
    </w:p>
    <w:p w14:paraId="27BB3551">
      <w:pPr>
        <w:snapToGrid w:val="0"/>
        <w:spacing w:line="520" w:lineRule="exact"/>
        <w:jc w:val="center"/>
        <w:rPr>
          <w:rFonts w:hint="eastAsia" w:ascii="方正小标宋简体" w:hAnsi="方正小标宋_GBK" w:eastAsia="方正小标宋简体" w:cs="方正小标宋_GBK"/>
          <w:bCs/>
          <w:sz w:val="44"/>
          <w:szCs w:val="44"/>
          <w:lang w:val="en-US" w:eastAsia="zh-CN"/>
        </w:rPr>
      </w:pPr>
      <w:r>
        <w:rPr>
          <w:rFonts w:hint="eastAsia" w:ascii="方正小标宋简体" w:hAnsi="方正小标宋_GBK" w:eastAsia="方正小标宋简体" w:cs="方正小标宋_GBK"/>
          <w:bCs/>
          <w:sz w:val="44"/>
          <w:szCs w:val="44"/>
          <w:lang w:val="en-US" w:eastAsia="zh-CN"/>
        </w:rPr>
        <w:t>关于2025届毕业论文相关工作的补充通知</w:t>
      </w:r>
    </w:p>
    <w:p w14:paraId="0561A3B8">
      <w:pPr>
        <w:snapToGrid w:val="0"/>
        <w:spacing w:line="520" w:lineRule="exact"/>
        <w:jc w:val="center"/>
        <w:rPr>
          <w:rFonts w:hint="eastAsia" w:ascii="方正小标宋简体" w:hAnsi="方正小标宋_GBK" w:eastAsia="方正小标宋简体" w:cs="方正小标宋_GBK"/>
          <w:bCs/>
          <w:sz w:val="44"/>
          <w:szCs w:val="44"/>
        </w:rPr>
      </w:pPr>
    </w:p>
    <w:p w14:paraId="4EBBB2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各教学单位：</w:t>
      </w:r>
    </w:p>
    <w:p w14:paraId="356D4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为进一步规范本科毕业论文（设计）管理，现对2025届本科毕业论文（设计）安排调整如下，请各教学单位遵照执行，各项材料模版见附件。</w:t>
      </w:r>
    </w:p>
    <w:p w14:paraId="18CBE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一、归档目录</w:t>
      </w:r>
    </w:p>
    <w:p w14:paraId="016D4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1.毕业论文（设计）工作手册</w:t>
      </w:r>
    </w:p>
    <w:p w14:paraId="1FD77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2.毕业论文（设计）初稿</w:t>
      </w:r>
    </w:p>
    <w:p w14:paraId="0C5D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3.毕业论文（设计）终稿</w:t>
      </w:r>
    </w:p>
    <w:p w14:paraId="45D95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4.毕业论文（设计）查重报告</w:t>
      </w:r>
    </w:p>
    <w:p w14:paraId="7F78D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二、相关要求</w:t>
      </w:r>
    </w:p>
    <w:p w14:paraId="1A9DE4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1.毕业论文（设计）材料根据归档目录按顺序装档，档案袋由学校统一购买。</w:t>
      </w:r>
    </w:p>
    <w:p w14:paraId="19A50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2.毕业论文（设计）工作手册按照目录顺序整理归档不装订。</w:t>
      </w:r>
    </w:p>
    <w:p w14:paraId="33BA4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3.毕业论文（设计）初稿，优先选用批注痕迹最详细的一版归档。初稿需带封面，订书机侧面装订即可。</w:t>
      </w:r>
    </w:p>
    <w:p w14:paraId="2C979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4</w:t>
      </w:r>
      <w:r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  <w:t>.</w:t>
      </w: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毕业论文（设计）终稿需按照封面、中英文摘要、目录、正文、参考文献、致谢、附录顺序排版，需胶装后归档。</w:t>
      </w:r>
    </w:p>
    <w:p w14:paraId="7AEDFB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default" w:ascii="方正仿宋_GBK" w:hAnsi="Times New Roman" w:eastAsia="方正仿宋_GBK" w:cs="Times New Roman"/>
          <w:sz w:val="32"/>
          <w:szCs w:val="32"/>
          <w:lang w:val="en-US" w:eastAsia="zh-CN"/>
        </w:rPr>
        <w:t>.</w:t>
      </w: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毕业论文（设计）查重报告，以“简洁报告-大学生版”归档。</w:t>
      </w:r>
    </w:p>
    <w:p w14:paraId="20BD4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三、保管要求</w:t>
      </w:r>
    </w:p>
    <w:p w14:paraId="15E35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1.各教学单位在归档时确保资料内容完整、无遗漏。</w:t>
      </w:r>
    </w:p>
    <w:p w14:paraId="14566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2.毕业论文（设计）档案资料需由专人管理，并妥善保管。</w:t>
      </w:r>
    </w:p>
    <w:p w14:paraId="2E6EEA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四、论文流程及时间安排</w:t>
      </w:r>
    </w:p>
    <w:p w14:paraId="24076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640" w:firstLineChars="200"/>
        <w:textAlignment w:val="auto"/>
        <w:rPr>
          <w:rStyle w:val="8"/>
          <w:rFonts w:hint="eastAsia" w:ascii="方正仿宋_GBK" w:hAnsi="方正仿宋_GBK" w:eastAsia="方正仿宋_GBK" w:cs="方正仿宋_GBK"/>
          <w:b w:val="0"/>
          <w:bCs/>
          <w:i w:val="0"/>
          <w:iCs w:val="0"/>
          <w:caps w:val="0"/>
          <w:color w:val="404040"/>
          <w:spacing w:val="0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sz w:val="32"/>
          <w:szCs w:val="32"/>
          <w:lang w:val="en-US" w:eastAsia="zh-CN"/>
        </w:rPr>
        <w:t>论文整体工作流程保持不变，时间安排调整如下表，各学院可参考时间安排制定详细答辩方案和完成时间。</w:t>
      </w:r>
    </w:p>
    <w:tbl>
      <w:tblPr>
        <w:tblStyle w:val="6"/>
        <w:tblW w:w="50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2809"/>
        <w:gridCol w:w="3449"/>
      </w:tblGrid>
      <w:tr w14:paraId="6730A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3FFA25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环节</w:t>
            </w:r>
          </w:p>
        </w:tc>
        <w:tc>
          <w:tcPr>
            <w:tcW w:w="1496" w:type="pct"/>
            <w:vAlign w:val="center"/>
          </w:tcPr>
          <w:p w14:paraId="679D79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1837" w:type="pct"/>
            <w:vAlign w:val="center"/>
          </w:tcPr>
          <w:p w14:paraId="336A2E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 w14:paraId="6C922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17CE9E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论文选题</w:t>
            </w:r>
          </w:p>
        </w:tc>
        <w:tc>
          <w:tcPr>
            <w:tcW w:w="1496" w:type="pct"/>
            <w:vAlign w:val="center"/>
          </w:tcPr>
          <w:p w14:paraId="4403F2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2024年9-10月</w:t>
            </w:r>
          </w:p>
        </w:tc>
        <w:tc>
          <w:tcPr>
            <w:tcW w:w="1837" w:type="pct"/>
            <w:vAlign w:val="center"/>
          </w:tcPr>
          <w:p w14:paraId="5D799B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00AE8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0D5882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开题与初期准备</w:t>
            </w:r>
          </w:p>
        </w:tc>
        <w:tc>
          <w:tcPr>
            <w:tcW w:w="1496" w:type="pct"/>
            <w:vAlign w:val="center"/>
          </w:tcPr>
          <w:p w14:paraId="3F852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2024年11月-12月</w:t>
            </w:r>
          </w:p>
        </w:tc>
        <w:tc>
          <w:tcPr>
            <w:tcW w:w="1837" w:type="pct"/>
            <w:vAlign w:val="center"/>
          </w:tcPr>
          <w:p w14:paraId="471CF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方正仿宋_GBK" w:eastAsia="方正仿宋_GBK" w:cs="Times New Roman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0617B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306CB5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论文写作与中期检查</w:t>
            </w:r>
          </w:p>
        </w:tc>
        <w:tc>
          <w:tcPr>
            <w:tcW w:w="1496" w:type="pct"/>
            <w:vAlign w:val="center"/>
          </w:tcPr>
          <w:p w14:paraId="6474DE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2025年1-4月</w:t>
            </w:r>
          </w:p>
        </w:tc>
        <w:tc>
          <w:tcPr>
            <w:tcW w:w="1837" w:type="pct"/>
            <w:vAlign w:val="center"/>
          </w:tcPr>
          <w:p w14:paraId="47993C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1EB1C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54A5FF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查重与答辩准备</w:t>
            </w:r>
          </w:p>
        </w:tc>
        <w:tc>
          <w:tcPr>
            <w:tcW w:w="1496" w:type="pct"/>
            <w:vAlign w:val="center"/>
          </w:tcPr>
          <w:p w14:paraId="29BDDF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2025年3-4月</w:t>
            </w:r>
          </w:p>
        </w:tc>
        <w:tc>
          <w:tcPr>
            <w:tcW w:w="1837" w:type="pct"/>
            <w:vAlign w:val="center"/>
          </w:tcPr>
          <w:p w14:paraId="15760C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答辩前需提交答辩方案</w:t>
            </w:r>
          </w:p>
        </w:tc>
      </w:tr>
      <w:tr w14:paraId="6C5B3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6" w:type="pct"/>
            <w:vAlign w:val="center"/>
          </w:tcPr>
          <w:p w14:paraId="153CA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修改定稿与论文答辩</w:t>
            </w:r>
          </w:p>
        </w:tc>
        <w:tc>
          <w:tcPr>
            <w:tcW w:w="1496" w:type="pct"/>
            <w:vAlign w:val="center"/>
          </w:tcPr>
          <w:p w14:paraId="25BC9E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837" w:type="pct"/>
            <w:vAlign w:val="center"/>
          </w:tcPr>
          <w:p w14:paraId="4DBA83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 w14:paraId="49088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666" w:type="pct"/>
            <w:vAlign w:val="center"/>
          </w:tcPr>
          <w:p w14:paraId="21DD9F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装订归档</w:t>
            </w:r>
          </w:p>
        </w:tc>
        <w:tc>
          <w:tcPr>
            <w:tcW w:w="1496" w:type="pct"/>
            <w:vAlign w:val="center"/>
          </w:tcPr>
          <w:p w14:paraId="4DF2BF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2025年5月底</w:t>
            </w:r>
          </w:p>
        </w:tc>
        <w:tc>
          <w:tcPr>
            <w:tcW w:w="1837" w:type="pct"/>
            <w:vAlign w:val="center"/>
          </w:tcPr>
          <w:p w14:paraId="4E23E2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方正仿宋_GBK" w:eastAsia="方正仿宋_GBK" w:cs="Times New Roman"/>
                <w:sz w:val="32"/>
                <w:szCs w:val="32"/>
                <w:vertAlign w:val="baseline"/>
                <w:lang w:val="en-US" w:eastAsia="zh-CN"/>
              </w:rPr>
              <w:t>学生需在离校前完成所有相关材料的签字上传</w:t>
            </w:r>
          </w:p>
        </w:tc>
      </w:tr>
    </w:tbl>
    <w:p w14:paraId="6F1CE68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right="0" w:rightChars="0"/>
        <w:jc w:val="left"/>
        <w:textAlignment w:val="auto"/>
        <w:rPr>
          <w:rStyle w:val="8"/>
          <w:rFonts w:hint="default" w:ascii="楷体" w:hAnsi="楷体" w:eastAsia="楷体" w:cs="楷体"/>
          <w:b/>
          <w:bCs w:val="0"/>
          <w:i w:val="0"/>
          <w:iCs w:val="0"/>
          <w:caps w:val="0"/>
          <w:color w:val="404040"/>
          <w:spacing w:val="0"/>
          <w:kern w:val="2"/>
          <w:sz w:val="32"/>
          <w:szCs w:val="32"/>
          <w:lang w:val="en-US" w:eastAsia="zh-CN" w:bidi="ar-SA"/>
        </w:rPr>
      </w:pPr>
    </w:p>
    <w:p w14:paraId="462112E6">
      <w:pPr>
        <w:pStyle w:val="4"/>
        <w:shd w:val="clear" w:color="auto" w:fill="FFFFFF"/>
        <w:spacing w:before="0" w:beforeAutospacing="0" w:after="0" w:afterAutospacing="0" w:line="315" w:lineRule="atLeast"/>
        <w:ind w:firstLine="640"/>
        <w:jc w:val="both"/>
        <w:rPr>
          <w:rFonts w:hint="eastAsia" w:ascii="方正仿宋_GBK" w:hAnsi="方正仿宋_GBK" w:eastAsia="方正仿宋_GBK" w:cs="方正仿宋_GBK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2"/>
          <w:szCs w:val="32"/>
          <w:lang w:val="en-US" w:eastAsia="zh-CN" w:bidi="ar-SA"/>
        </w:rPr>
        <w:t>附件：</w:t>
      </w:r>
      <w:r>
        <w:rPr>
          <w:rFonts w:hint="eastAsia" w:ascii="方正仿宋_GBK" w:hAnsi="方正仿宋_GBK" w:eastAsia="方正仿宋_GBK" w:cs="方正仿宋_GBK"/>
          <w:color w:val="000000"/>
          <w:kern w:val="0"/>
          <w:sz w:val="32"/>
          <w:szCs w:val="32"/>
          <w:lang w:val="en-US" w:eastAsia="zh-CN" w:bidi="ar-SA"/>
        </w:rPr>
        <w:t>1.本科毕业论文（设计）档案袋</w:t>
      </w:r>
    </w:p>
    <w:p w14:paraId="27961FC1"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15" w:lineRule="atLeast"/>
        <w:ind w:firstLine="1600" w:firstLineChars="500"/>
        <w:jc w:val="both"/>
        <w:rPr>
          <w:rFonts w:hint="eastAsia" w:ascii="方正仿宋_GBK" w:eastAsia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color w:val="000000"/>
          <w:kern w:val="0"/>
          <w:sz w:val="32"/>
          <w:szCs w:val="32"/>
          <w:lang w:val="en-US" w:eastAsia="zh-CN" w:bidi="ar-SA"/>
        </w:rPr>
        <w:t>2.本科毕业论文（设计）工作手册</w:t>
      </w:r>
    </w:p>
    <w:p w14:paraId="22ACF20A"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15" w:lineRule="atLeast"/>
        <w:ind w:firstLine="1600" w:firstLineChars="500"/>
        <w:jc w:val="both"/>
        <w:rPr>
          <w:rFonts w:hint="eastAsia" w:ascii="方正仿宋_GBK" w:hAnsi="方正仿宋_GBK" w:eastAsia="方正仿宋_GBK" w:cs="方正仿宋_GBK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color w:val="000000"/>
          <w:kern w:val="0"/>
          <w:sz w:val="32"/>
          <w:szCs w:val="32"/>
          <w:lang w:val="en-US" w:eastAsia="zh-CN" w:bidi="ar-SA"/>
        </w:rPr>
        <w:t>3.本科毕业论文（设计）封面</w:t>
      </w:r>
    </w:p>
    <w:p w14:paraId="50FCD451">
      <w:pPr>
        <w:wordWrap/>
        <w:spacing w:line="360" w:lineRule="auto"/>
        <w:jc w:val="right"/>
        <w:rPr>
          <w:rFonts w:hint="eastAsia" w:ascii="方正仿宋_GBK" w:eastAsia="方正仿宋_GBK"/>
          <w:sz w:val="32"/>
          <w:szCs w:val="32"/>
          <w:lang w:val="en-US" w:eastAsia="zh-CN"/>
        </w:rPr>
      </w:pPr>
      <w:r>
        <w:rPr>
          <w:rFonts w:hint="eastAsia" w:ascii="方正仿宋_GBK" w:eastAsia="方正仿宋_GBK"/>
          <w:sz w:val="32"/>
          <w:szCs w:val="32"/>
          <w:lang w:val="en-US" w:eastAsia="zh-CN"/>
        </w:rPr>
        <w:t xml:space="preserve"> </w:t>
      </w:r>
    </w:p>
    <w:p w14:paraId="095667E2">
      <w:pPr>
        <w:wordWrap/>
        <w:spacing w:line="360" w:lineRule="auto"/>
        <w:jc w:val="right"/>
        <w:rPr>
          <w:rFonts w:hint="default" w:ascii="方正仿宋_GBK" w:eastAsia="方正仿宋_GBK"/>
          <w:sz w:val="32"/>
          <w:szCs w:val="32"/>
          <w:lang w:val="en-US" w:eastAsia="zh-CN"/>
        </w:rPr>
      </w:pPr>
      <w:r>
        <w:rPr>
          <w:rFonts w:hint="eastAsia" w:ascii="方正仿宋_GBK" w:eastAsia="方正仿宋_GBK"/>
          <w:sz w:val="32"/>
          <w:szCs w:val="32"/>
        </w:rPr>
        <w:t>重庆对外经贸学院教务处</w:t>
      </w:r>
    </w:p>
    <w:p w14:paraId="1BE95F41">
      <w:pPr>
        <w:wordWrap/>
        <w:spacing w:line="360" w:lineRule="auto"/>
        <w:jc w:val="center"/>
        <w:rPr>
          <w:rFonts w:hint="eastAsia" w:eastAsia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376555</wp:posOffset>
                </wp:positionV>
                <wp:extent cx="6120130" cy="0"/>
                <wp:effectExtent l="0" t="38100" r="1397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76200" cap="flat" cmpd="thickThin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15pt;margin-top:29.65pt;height:0pt;width:481.9pt;z-index:251662336;mso-width-relative:page;mso-height-relative:page;" filled="f" stroked="t" coordsize="21600,21600" o:gfxdata="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aRcU9kAAAAJAQAADwAAAAAAAAABACAAAAAiAAAAZHJzL2Rvd25yZXYu&#10;eG1sUEsBAhQAFAAAAAgAh07iQP5RY9T6AQAA6wMAAA4AAAAAAAAAAQAgAAAAKAEAAGRycy9lMm9E&#10;b2MueG1sUEsFBgAAAAAGAAYAWQEAAJQFAAAAAA==&#10;">
                <v:fill on="f" focussize="0,0"/>
                <v:stroke weight="6pt" color="#FF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 xml:space="preserve">                                    </w:t>
      </w:r>
      <w:r>
        <w:rPr>
          <w:rFonts w:hint="eastAsia" w:ascii="方正仿宋_GBK" w:eastAsia="方正仿宋_GBK"/>
          <w:sz w:val="32"/>
          <w:szCs w:val="32"/>
        </w:rPr>
        <w:t>202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5</w:t>
      </w:r>
      <w:r>
        <w:rPr>
          <w:rFonts w:hint="eastAsia" w:ascii="方正仿宋_GBK" w:eastAsia="方正仿宋_GBK"/>
          <w:sz w:val="32"/>
          <w:szCs w:val="32"/>
        </w:rPr>
        <w:t>年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4</w:t>
      </w:r>
      <w:r>
        <w:rPr>
          <w:rFonts w:hint="eastAsia" w:ascii="方正仿宋_GBK" w:eastAsia="方正仿宋_GBK"/>
          <w:sz w:val="32"/>
          <w:szCs w:val="32"/>
        </w:rPr>
        <w:t>月</w:t>
      </w:r>
      <w:r>
        <w:rPr>
          <w:rFonts w:hint="eastAsia" w:ascii="方正仿宋_GBK" w:eastAsia="方正仿宋_GBK"/>
          <w:sz w:val="32"/>
          <w:szCs w:val="32"/>
          <w:lang w:val="en-US" w:eastAsia="zh-CN"/>
        </w:rPr>
        <w:t>11</w:t>
      </w:r>
      <w:r>
        <w:rPr>
          <w:rFonts w:hint="eastAsia" w:ascii="方正仿宋_GBK" w:eastAsia="方正仿宋_GBK"/>
          <w:sz w:val="32"/>
          <w:szCs w:val="32"/>
        </w:rPr>
        <w:t>日</w:t>
      </w:r>
    </w:p>
    <w:sectPr>
      <w:footerReference r:id="rId3" w:type="default"/>
      <w:pgSz w:w="11906" w:h="16838"/>
      <w:pgMar w:top="1134" w:right="1417" w:bottom="1134" w:left="1417" w:header="567" w:footer="567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9DB57C7-7BF8-491B-ADF0-C7F354620CE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73362F7E-A441-4C3D-9E1D-0EDC93A96A22}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F86D2FBB-759C-4DF0-958B-9F50B1FB97A8}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4" w:fontKey="{227C4DB4-89A6-4EB3-B613-77107AEECB48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5" w:fontKey="{29880071-E38B-4404-B23B-D18F758C2F9C}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6" w:fontKey="{D3610A0C-5F9C-4FA8-994F-DD235D0B254E}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  <w:embedRegular r:id="rId7" w:fontKey="{2DC4C7B1-3CEB-4661-BF9F-0370D87C896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9AF37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70D5C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5470D5C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41691"/>
    <w:rsid w:val="06587C94"/>
    <w:rsid w:val="0C3A4C9D"/>
    <w:rsid w:val="12205FC9"/>
    <w:rsid w:val="1650664D"/>
    <w:rsid w:val="1D291FA4"/>
    <w:rsid w:val="1F81458A"/>
    <w:rsid w:val="262C15FE"/>
    <w:rsid w:val="2BF41691"/>
    <w:rsid w:val="2C9E7BC7"/>
    <w:rsid w:val="36AD5AAE"/>
    <w:rsid w:val="371F2036"/>
    <w:rsid w:val="3BC535CA"/>
    <w:rsid w:val="4258464E"/>
    <w:rsid w:val="488B752C"/>
    <w:rsid w:val="4BD109F4"/>
    <w:rsid w:val="4EB8182E"/>
    <w:rsid w:val="60E508E3"/>
    <w:rsid w:val="61131A15"/>
    <w:rsid w:val="62F615EE"/>
    <w:rsid w:val="64503D11"/>
    <w:rsid w:val="6CB93DB8"/>
    <w:rsid w:val="6D7C0AE9"/>
    <w:rsid w:val="778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625</Words>
  <Characters>681</Characters>
  <Lines>0</Lines>
  <Paragraphs>0</Paragraphs>
  <TotalTime>0</TotalTime>
  <ScaleCrop>false</ScaleCrop>
  <LinksUpToDate>false</LinksUpToDate>
  <CharactersWithSpaces>719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2025-04-11T07:39:00Z</dcterms:created>
  <dc:creator>Y.</dc:creator>
  <cp:lastModifiedBy>WPS_1609142232</cp:lastModifiedBy>
  <cp:lastPrinted>2025-04-11T08:54:00Z</cp:lastPrinted>
  <dcterms:modified xsi:type="dcterms:W3CDTF">2025-04-12T07:52:02Z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BE1C869305E94A899800B4DC2856CDC6_11</vt:lpwstr>
  </property>
  <property fmtid="{D5CDD505-2E9C-101B-9397-08002B2CF9AE}" pid="4" name="KSOTemplateDocerSaveRecord">
    <vt:lpwstr>eyJoZGlkIjoiNDVkNzhiN2ViNzhhNGFhYzFiZjNkOGNkYjYwYjAzZTAiLCJ1c2VySWQiOiIxMTU1MTkxMzQ1In0=</vt:lpwstr>
  </property>
</Properties>
</file>