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33B62" w:rsidRDefault="00333B62" w:rsidP="00333B62">
      <w:pPr>
        <w:pStyle w:val="MDPI21heading1"/>
        <w:spacing w:line="480" w:lineRule="auto"/>
        <w:rPr>
          <w:rFonts w:ascii="Times New Roman" w:hAnsi="Times New Roman"/>
          <w:sz w:val="24"/>
          <w:szCs w:val="24"/>
        </w:rPr>
      </w:pPr>
    </w:p>
    <w:p w:rsidR="007773B0" w:rsidRPr="00FF6057" w:rsidRDefault="007773B0" w:rsidP="00333B62">
      <w:pPr>
        <w:pStyle w:val="MDPI21heading1"/>
        <w:spacing w:line="480" w:lineRule="auto"/>
        <w:rPr>
          <w:rFonts w:ascii="Times New Roman" w:hAnsi="Times New Roman"/>
          <w:sz w:val="24"/>
          <w:szCs w:val="24"/>
        </w:rPr>
      </w:pPr>
      <w:r w:rsidRPr="00FF6057">
        <w:rPr>
          <w:rFonts w:ascii="Times New Roman" w:hAnsi="Times New Roman"/>
          <w:sz w:val="24"/>
          <w:szCs w:val="24"/>
        </w:rPr>
        <w:t>Appendix A – Supplemental Methods</w:t>
      </w:r>
    </w:p>
    <w:p w:rsidR="00333B62" w:rsidRPr="00C450A8" w:rsidRDefault="00333B62" w:rsidP="00333B62">
      <w:pPr>
        <w:pStyle w:val="MDPI21heading1"/>
        <w:spacing w:before="0" w:after="0" w:line="480" w:lineRule="auto"/>
        <w:rPr>
          <w:rFonts w:ascii="Times New Roman" w:hAnsi="Times New Roman"/>
          <w:sz w:val="24"/>
          <w:szCs w:val="24"/>
        </w:rPr>
      </w:pPr>
      <w:r w:rsidRPr="00C450A8">
        <w:rPr>
          <w:rFonts w:ascii="Times New Roman" w:hAnsi="Times New Roman"/>
          <w:b w:val="0"/>
          <w:bCs/>
          <w:i/>
          <w:iCs/>
          <w:sz w:val="24"/>
          <w:szCs w:val="24"/>
        </w:rPr>
        <w:t>Sample Collection</w:t>
      </w:r>
    </w:p>
    <w:p w:rsidR="00333B62" w:rsidRPr="00C450A8" w:rsidRDefault="00333B62" w:rsidP="00333B62">
      <w:pPr>
        <w:pStyle w:val="MDPI31text"/>
        <w:spacing w:line="480" w:lineRule="auto"/>
        <w:ind w:firstLine="0"/>
        <w:jc w:val="left"/>
        <w:rPr>
          <w:rFonts w:ascii="Times New Roman" w:hAnsi="Times New Roman"/>
          <w:spacing w:val="-2"/>
          <w:sz w:val="24"/>
          <w:szCs w:val="24"/>
        </w:rPr>
      </w:pPr>
      <w:r w:rsidRPr="00C450A8">
        <w:rPr>
          <w:rFonts w:ascii="Times New Roman" w:hAnsi="Times New Roman"/>
          <w:spacing w:val="-2"/>
          <w:sz w:val="24"/>
          <w:szCs w:val="24"/>
        </w:rPr>
        <w:t>We conducted our study at Scorpion State Marine Reserve</w:t>
      </w:r>
      <w:r>
        <w:rPr>
          <w:rFonts w:ascii="Times New Roman" w:hAnsi="Times New Roman"/>
          <w:spacing w:val="-2"/>
          <w:sz w:val="24"/>
          <w:szCs w:val="24"/>
        </w:rPr>
        <w:t xml:space="preserve"> within the Channel Islands National Park and National Marine Sanctuary</w:t>
      </w:r>
      <w:r w:rsidRPr="00C450A8">
        <w:rPr>
          <w:rFonts w:ascii="Times New Roman" w:hAnsi="Times New Roman"/>
          <w:spacing w:val="-2"/>
          <w:sz w:val="24"/>
          <w:szCs w:val="24"/>
        </w:rPr>
        <w:t xml:space="preserve">. To determine the degree to which eDNA could capture </w:t>
      </w:r>
      <w:r>
        <w:rPr>
          <w:rFonts w:ascii="Times New Roman" w:hAnsi="Times New Roman"/>
          <w:spacing w:val="-2"/>
          <w:sz w:val="24"/>
          <w:szCs w:val="24"/>
        </w:rPr>
        <w:t>documented differences inside and outside this MPA</w:t>
      </w:r>
      <w:r w:rsidRPr="00C450A8">
        <w:rPr>
          <w:rFonts w:ascii="Times New Roman" w:hAnsi="Times New Roman"/>
          <w:spacing w:val="-2"/>
          <w:sz w:val="24"/>
          <w:szCs w:val="24"/>
        </w:rPr>
        <w:t xml:space="preserve">, we sampled three sites: 1) inside the MPA, 2) outside but adjacent (&lt;0.5km) to the MPA (“edge site”), and 3) 2.3km outside the MPA boundary (“outside site”; Figure 1). At each of these three sites, we sampled </w:t>
      </w:r>
      <w:r>
        <w:rPr>
          <w:rFonts w:ascii="Times New Roman" w:hAnsi="Times New Roman"/>
          <w:spacing w:val="-2"/>
          <w:sz w:val="24"/>
          <w:szCs w:val="24"/>
        </w:rPr>
        <w:t xml:space="preserve">directly </w:t>
      </w:r>
      <w:r w:rsidRPr="00C450A8">
        <w:rPr>
          <w:rFonts w:ascii="Times New Roman" w:hAnsi="Times New Roman"/>
          <w:spacing w:val="-2"/>
          <w:sz w:val="24"/>
          <w:szCs w:val="24"/>
        </w:rPr>
        <w:t xml:space="preserve">along a 100m </w:t>
      </w:r>
      <w:r>
        <w:rPr>
          <w:rFonts w:ascii="Times New Roman" w:hAnsi="Times New Roman"/>
          <w:spacing w:val="-2"/>
          <w:sz w:val="24"/>
          <w:szCs w:val="24"/>
        </w:rPr>
        <w:t xml:space="preserve">fixed </w:t>
      </w:r>
      <w:r w:rsidRPr="00C450A8">
        <w:rPr>
          <w:rFonts w:ascii="Times New Roman" w:hAnsi="Times New Roman"/>
          <w:spacing w:val="-2"/>
          <w:sz w:val="24"/>
          <w:szCs w:val="24"/>
        </w:rPr>
        <w:t xml:space="preserve">transect, </w:t>
      </w:r>
      <w:r>
        <w:rPr>
          <w:rFonts w:ascii="Times New Roman" w:hAnsi="Times New Roman"/>
          <w:spacing w:val="-2"/>
          <w:sz w:val="24"/>
          <w:szCs w:val="24"/>
        </w:rPr>
        <w:t>using a GPS to ensure t</w:t>
      </w:r>
      <w:r w:rsidRPr="00C450A8">
        <w:rPr>
          <w:rFonts w:ascii="Times New Roman" w:hAnsi="Times New Roman"/>
          <w:spacing w:val="-2"/>
          <w:sz w:val="24"/>
          <w:szCs w:val="24"/>
        </w:rPr>
        <w:t xml:space="preserve">hese transects overlapped with fixed 100m transects </w:t>
      </w:r>
      <w:r>
        <w:rPr>
          <w:rFonts w:ascii="Times New Roman" w:hAnsi="Times New Roman"/>
          <w:spacing w:val="-2"/>
          <w:sz w:val="24"/>
          <w:szCs w:val="24"/>
        </w:rPr>
        <w:t xml:space="preserve">used by the </w:t>
      </w:r>
      <w:r w:rsidRPr="00C450A8">
        <w:rPr>
          <w:rFonts w:ascii="Times New Roman" w:hAnsi="Times New Roman"/>
          <w:spacing w:val="-2"/>
          <w:sz w:val="24"/>
          <w:szCs w:val="24"/>
        </w:rPr>
        <w:t>Kelp Forest Monitoring Program</w:t>
      </w:r>
      <w:r>
        <w:rPr>
          <w:rFonts w:ascii="Times New Roman" w:hAnsi="Times New Roman"/>
          <w:spacing w:val="-2"/>
          <w:sz w:val="24"/>
          <w:szCs w:val="24"/>
        </w:rPr>
        <w:t xml:space="preserve"> for visual monitoring </w:t>
      </w:r>
      <w:r>
        <w:rPr>
          <w:rFonts w:ascii="Times New Roman" w:hAnsi="Times New Roman"/>
          <w:spacing w:val="-2"/>
          <w:sz w:val="24"/>
          <w:szCs w:val="24"/>
        </w:rPr>
        <w:fldChar w:fldCharType="begin" w:fldLock="1"/>
      </w:r>
      <w:r>
        <w:rPr>
          <w:rFonts w:ascii="Times New Roman" w:hAnsi="Times New Roman"/>
          <w:spacing w:val="-2"/>
          <w:sz w:val="24"/>
          <w:szCs w:val="24"/>
        </w:rPr>
        <w:instrText>ADDIN CSL_CITATION {"citationItems":[{"id":"ITEM-1","itemData":{"ISSN":"1939-9170","author":[{"dropping-particle":"","family":"Kushner","given":"David J","non-dropping-particle":"","parse-names":false,"suffix":""},{"dropping-particle":"","family":"Rassweiler","given":"Andrew","non-dropping-particle":"","parse-names":false,"suffix":""},{"dropping-particle":"","family":"McLaughlin","given":"John P","non-dropping-particle":"","parse-names":false,"suffix":""},{"dropping-particle":"","family":"Lafferty","given":"Kevin D","non-dropping-particle":"","parse-names":false,"suffix":""}],"container-title":"Ecology","id":"ITEM-1","issue":"11","issued":{"date-parts":[["2013"]]},"page":"2655","publisher":"Wiley-Blackwell","title":"A multi-decade time series of kelp forest community structure at the California Channel Islands","type":"article-journal","volume":"94"},"uris":["http://www.mendeley.com/documents/?uuid=27a49882-32e9-45eb-9c80-00683aa4118b"]}],"mendeley":{"formattedCitation":"(Kushner, Rassweiler, McLaughlin, &amp; Lafferty, 2013)","plainTextFormattedCitation":"(Kushner, Rassweiler, McLaughlin, &amp; Lafferty, 2013)","previouslyFormattedCitation":"(Kushner et al., 2013)"},"properties":{"noteIndex":0},"schema":"https://github.com/citation-style-language/schema/raw/master/csl-citation.json"}</w:instrText>
      </w:r>
      <w:r>
        <w:rPr>
          <w:rFonts w:ascii="Times New Roman" w:hAnsi="Times New Roman"/>
          <w:spacing w:val="-2"/>
          <w:sz w:val="24"/>
          <w:szCs w:val="24"/>
        </w:rPr>
        <w:fldChar w:fldCharType="separate"/>
      </w:r>
      <w:r w:rsidRPr="00333B62">
        <w:rPr>
          <w:rFonts w:ascii="Times New Roman" w:hAnsi="Times New Roman"/>
          <w:noProof/>
          <w:spacing w:val="-2"/>
          <w:sz w:val="24"/>
          <w:szCs w:val="24"/>
        </w:rPr>
        <w:t>(Kushner, Rassweiler, McLaughlin, &amp; Lafferty, 2013)</w:t>
      </w:r>
      <w:r>
        <w:rPr>
          <w:rFonts w:ascii="Times New Roman" w:hAnsi="Times New Roman"/>
          <w:spacing w:val="-2"/>
          <w:sz w:val="24"/>
          <w:szCs w:val="24"/>
        </w:rPr>
        <w:fldChar w:fldCharType="end"/>
      </w:r>
      <w:r>
        <w:rPr>
          <w:rFonts w:ascii="Times New Roman" w:hAnsi="Times New Roman"/>
          <w:spacing w:val="-2"/>
          <w:sz w:val="24"/>
          <w:szCs w:val="24"/>
        </w:rPr>
        <w:t xml:space="preserve">. We </w:t>
      </w:r>
      <w:r w:rsidRPr="00C450A8">
        <w:rPr>
          <w:rFonts w:ascii="Times New Roman" w:hAnsi="Times New Roman"/>
          <w:spacing w:val="-2"/>
          <w:sz w:val="24"/>
          <w:szCs w:val="24"/>
        </w:rPr>
        <w:t>collect</w:t>
      </w:r>
      <w:r>
        <w:rPr>
          <w:rFonts w:ascii="Times New Roman" w:hAnsi="Times New Roman"/>
          <w:spacing w:val="-2"/>
          <w:sz w:val="24"/>
          <w:szCs w:val="24"/>
        </w:rPr>
        <w:t>ed</w:t>
      </w:r>
      <w:r w:rsidRPr="00C450A8">
        <w:rPr>
          <w:rFonts w:ascii="Times New Roman" w:hAnsi="Times New Roman"/>
          <w:spacing w:val="-2"/>
          <w:sz w:val="24"/>
          <w:szCs w:val="24"/>
        </w:rPr>
        <w:t xml:space="preserve"> three replicate 1L water samples from three locations </w:t>
      </w:r>
      <w:r>
        <w:rPr>
          <w:rFonts w:ascii="Times New Roman" w:hAnsi="Times New Roman"/>
          <w:spacing w:val="-2"/>
          <w:sz w:val="24"/>
          <w:szCs w:val="24"/>
        </w:rPr>
        <w:t xml:space="preserve">on </w:t>
      </w:r>
      <w:r w:rsidRPr="00C450A8">
        <w:rPr>
          <w:rFonts w:ascii="Times New Roman" w:hAnsi="Times New Roman"/>
          <w:spacing w:val="-2"/>
          <w:sz w:val="24"/>
          <w:szCs w:val="24"/>
        </w:rPr>
        <w:t>each</w:t>
      </w:r>
      <w:r>
        <w:rPr>
          <w:rFonts w:ascii="Times New Roman" w:hAnsi="Times New Roman"/>
          <w:spacing w:val="-2"/>
          <w:sz w:val="24"/>
          <w:szCs w:val="24"/>
        </w:rPr>
        <w:t xml:space="preserve"> transect</w:t>
      </w:r>
      <w:r w:rsidRPr="00C450A8">
        <w:rPr>
          <w:rFonts w:ascii="Times New Roman" w:hAnsi="Times New Roman"/>
          <w:spacing w:val="-2"/>
          <w:sz w:val="24"/>
          <w:szCs w:val="24"/>
        </w:rPr>
        <w:t xml:space="preserve">, totaling 9 spatially structured replicates per site. Due to </w:t>
      </w:r>
      <w:r>
        <w:rPr>
          <w:rFonts w:ascii="Times New Roman" w:hAnsi="Times New Roman"/>
          <w:spacing w:val="-2"/>
          <w:sz w:val="24"/>
          <w:szCs w:val="24"/>
        </w:rPr>
        <w:t>fieldwork logistical</w:t>
      </w:r>
      <w:r w:rsidRPr="00C450A8">
        <w:rPr>
          <w:rFonts w:ascii="Times New Roman" w:hAnsi="Times New Roman"/>
          <w:spacing w:val="-2"/>
          <w:sz w:val="24"/>
          <w:szCs w:val="24"/>
        </w:rPr>
        <w:t xml:space="preserve"> challenges, each site was sampled on a different day with a maximum of 72 hours between sampling events. </w:t>
      </w:r>
    </w:p>
    <w:p w:rsidR="00333B62" w:rsidRPr="00C450A8" w:rsidRDefault="00333B62" w:rsidP="00333B62">
      <w:pPr>
        <w:pStyle w:val="MDPI31text"/>
        <w:spacing w:line="480" w:lineRule="auto"/>
        <w:ind w:firstLine="420"/>
        <w:jc w:val="left"/>
        <w:rPr>
          <w:rFonts w:ascii="Times New Roman" w:hAnsi="Times New Roman"/>
          <w:spacing w:val="-2"/>
          <w:sz w:val="24"/>
          <w:szCs w:val="24"/>
        </w:rPr>
      </w:pPr>
      <w:r w:rsidRPr="00C450A8">
        <w:rPr>
          <w:rFonts w:ascii="Times New Roman" w:hAnsi="Times New Roman"/>
          <w:spacing w:val="-2"/>
          <w:sz w:val="24"/>
          <w:szCs w:val="24"/>
        </w:rPr>
        <w:t xml:space="preserve">We collected seawater samples from 10m below the surface and 1m above the benthos using a 4L Niskin bottle deployed from the UCLA RV Kodiak </w:t>
      </w:r>
      <w:r w:rsidRPr="00C450A8">
        <w:rPr>
          <w:rFonts w:ascii="Times New Roman" w:hAnsi="Times New Roman"/>
          <w:spacing w:val="-2"/>
          <w:sz w:val="24"/>
          <w:szCs w:val="24"/>
        </w:rPr>
        <w:fldChar w:fldCharType="begin" w:fldLock="1"/>
      </w:r>
      <w:r>
        <w:rPr>
          <w:rFonts w:ascii="Times New Roman" w:hAnsi="Times New Roman"/>
          <w:spacing w:val="-2"/>
          <w:sz w:val="24"/>
          <w:szCs w:val="24"/>
        </w:rPr>
        <w:instrText>ADDIN CSL_CITATION {"citationItems":[{"id":"ITEM-1","itemData":{"DOI":"10.1371/journal.pone.0165252","ISSN":"19326203","PMID":"27851757","abstract":"Remote polar and deepwater fish faunas are under pressure from ongoing climate change and increasing fishing effort. However, these fish communities are difficult to monitor for logistic and financial reasons. Currently, monitoring of marine fishes largely relies on invasive techniques such as bottom trawling, and on official reporting of global catches, which can be unreliable. Thus, there is need for alternative and non-invasive techniques for qualitative and quantitative oceanic fish surveys. Here we report environmental DNA (eDNA) metabarcoding of seawater samples from continental slope depths in Southwest Greenland. We collected seawater samples at depths of 188–918 m and compared seawater eDNA to catch data from trawling. We used Illumina sequencing of PCR products to demonstrate that eDNA reads show equivalence to fishing catch data obtained from trawling. Twenty-six families were found with both trawling and eDNA, while three families were found only with eDNA and two families were found only with trawling. Key commercial fish species for Greenland were the most abundant species in both eDNA reads and biomass catch, and interpolation of eDNA abundances between sampling sites showed good correspondence with catch sizes. Environmental DNA sequence reads from the fish assemblages correlated with biomass and abundance data obtained from trawling. Interestingly, the Greenland shark (Somniosus microcephalus) showed high abundance of eDNA reads despite only a single specimen being caught, demonstrating the relevance of the eDNA approach for large species that can probably avoid bottom trawls in most cases. Quantitative detection of marine fish using eDNA remains to be tested further to ascertain whether this technique is able to yield credible results for routine application in fisheries. Nevertheless, our study demonstrates that eDNA reads can be used as a qualitative and quantitative proxy for marine fish assemblages in deepwater oceanic habitats. This relates directly to applied fisheries as well as to monitoring effects of ongoing climate change on marine biodiversity—especially in polar ecosystems.","author":[{"dropping-particle":"","family":"Thomsen","given":"Philip Francis","non-dropping-particle":"","parse-names":false,"suffix":""},{"dropping-particle":"","family":"Møller","given":"Peter Rask","non-dropping-particle":"","parse-names":false,"suffix":""},{"dropping-particle":"","family":"Sigsgaard","given":"Eva Egelyng","non-dropping-particle":"","parse-names":false,"suffix":""},{"dropping-particle":"","family":"Knudsen","given":"Steen Wilhelm","non-dropping-particle":"","parse-names":false,"suffix":""},{"dropping-particle":"","family":"Jørgensen","given":"Ole Ankjør","non-dropping-particle":"","parse-names":false,"suffix":""},{"dropping-particle":"","family":"Willerslev","given":"Eske","non-dropping-particle":"","parse-names":false,"suffix":""}],"container-title":"PLoS ONE","id":"ITEM-1","issue":"11","issued":{"date-parts":[["2016"]]},"title":"Environmental DNA from seawater samples correlate with trawl catches of subarctic, deepwater fishes","type":"article-journal","volume":"11"},"uris":["http://www.mendeley.com/documents/?uuid=5972fab5-9efb-3a38-a460-f8cac91810f3"]}],"mendeley":{"formattedCitation":"(Thomsen et al., 2016)","plainTextFormattedCitation":"(Thomsen et al., 2016)","previouslyFormattedCitation":"(Thomsen et al., 2016)"},"properties":{"noteIndex":0},"schema":"https://github.com/citation-style-language/schema/raw/master/csl-citation.json"}</w:instrText>
      </w:r>
      <w:r w:rsidRPr="00C450A8">
        <w:rPr>
          <w:rFonts w:ascii="Times New Roman" w:hAnsi="Times New Roman"/>
          <w:spacing w:val="-2"/>
          <w:sz w:val="24"/>
          <w:szCs w:val="24"/>
        </w:rPr>
        <w:fldChar w:fldCharType="separate"/>
      </w:r>
      <w:r w:rsidRPr="005603E0">
        <w:rPr>
          <w:rFonts w:ascii="Times New Roman" w:hAnsi="Times New Roman"/>
          <w:noProof/>
          <w:spacing w:val="-2"/>
          <w:sz w:val="24"/>
          <w:szCs w:val="24"/>
        </w:rPr>
        <w:t>(Thomsen et al., 2016)</w:t>
      </w:r>
      <w:r w:rsidRPr="00C450A8">
        <w:rPr>
          <w:rFonts w:ascii="Times New Roman" w:hAnsi="Times New Roman"/>
          <w:spacing w:val="-2"/>
          <w:sz w:val="24"/>
          <w:szCs w:val="24"/>
        </w:rPr>
        <w:fldChar w:fldCharType="end"/>
      </w:r>
      <w:r w:rsidRPr="00C450A8">
        <w:rPr>
          <w:rFonts w:ascii="Times New Roman" w:hAnsi="Times New Roman"/>
          <w:spacing w:val="-2"/>
          <w:sz w:val="24"/>
          <w:szCs w:val="24"/>
        </w:rPr>
        <w:t xml:space="preserve">. From each Niskin deployment, we transferred a single liter of seawater to an enteral feeding pouch (hereafter “pouch”), which we then hung to facilitate gravity filtration through a sterile 0.22 µm Sterivex cartridge filter (MilliporeSigma, Burlington, MA, USA) in the field </w:t>
      </w:r>
      <w:r w:rsidRPr="00C450A8">
        <w:rPr>
          <w:rFonts w:ascii="Times New Roman" w:hAnsi="Times New Roman"/>
          <w:spacing w:val="-2"/>
          <w:sz w:val="24"/>
          <w:szCs w:val="24"/>
        </w:rPr>
        <w:fldChar w:fldCharType="begin" w:fldLock="1"/>
      </w:r>
      <w:r>
        <w:rPr>
          <w:rFonts w:ascii="Times New Roman" w:hAnsi="Times New Roman"/>
          <w:spacing w:val="-2"/>
          <w:sz w:val="24"/>
          <w:szCs w:val="24"/>
        </w:rPr>
        <w:instrText>ADDIN CSL_CITATION {"citationItems":[{"id":"ITEM-1","itemData":{"DOI":"10.3791/54741","ISSN":"1940-087X","author":[{"dropping-particle":"","family":"Miya","given":"Masaki","non-dropping-particle":"","parse-names":false,"suffix":""},{"dropping-particle":"","family":"Minamoto","given":"Toshifumi","non-dropping-particle":"","parse-names":false,"suffix":""},{"dropping-particle":"","family":"Yamanaka","given":"Hiroki","non-dropping-particle":"","parse-names":false,"suffix":""},{"dropping-particle":"","family":"Oka","given":"Shin-ichiro","non-dropping-particle":"","parse-names":false,"suffix":""},{"dropping-particle":"","family":"Sato","given":"Keiichi","non-dropping-particle":"","parse-names":false,"suffix":""},{"dropping-particle":"","family":"Yamamoto","given":"Satoshi","non-dropping-particle":"","parse-names":false,"suffix":""},{"dropping-particle":"","family":"Sado","given":"Tetsuya","non-dropping-particle":"","parse-names":false,"suffix":""},{"dropping-particle":"","family":"Doi","given":"Hideyuki","non-dropping-particle":"","parse-names":false,"suffix":""}],"container-title":"Journal of Visualized Experiments","id":"ITEM-1","issue":"117","issued":{"date-parts":[["2016","11","25"]]},"page":"e54741-e54741","title":"Use of a Filter Cartridge for Filtration of Water Samples and Extraction of Environmental DNA","type":"article-journal"},"uris":["http://www.mendeley.com/documents/?uuid=9dfa723f-ace3-3777-b93e-9b06cfe26382"]}],"mendeley":{"formattedCitation":"(Masaki Miya et al., 2016)","plainTextFormattedCitation":"(Masaki Miya et al., 2016)","previouslyFormattedCitation":"(Masaki Miya et al., 2016)"},"properties":{"noteIndex":0},"schema":"https://github.com/citation-style-language/schema/raw/master/csl-citation.json"}</w:instrText>
      </w:r>
      <w:r w:rsidRPr="00C450A8">
        <w:rPr>
          <w:rFonts w:ascii="Times New Roman" w:hAnsi="Times New Roman"/>
          <w:spacing w:val="-2"/>
          <w:sz w:val="24"/>
          <w:szCs w:val="24"/>
        </w:rPr>
        <w:fldChar w:fldCharType="separate"/>
      </w:r>
      <w:r w:rsidRPr="005603E0">
        <w:rPr>
          <w:rFonts w:ascii="Times New Roman" w:hAnsi="Times New Roman"/>
          <w:noProof/>
          <w:spacing w:val="-2"/>
          <w:sz w:val="24"/>
          <w:szCs w:val="24"/>
        </w:rPr>
        <w:t>(Masaki Miya et al., 2016)</w:t>
      </w:r>
      <w:r w:rsidRPr="00C450A8">
        <w:rPr>
          <w:rFonts w:ascii="Times New Roman" w:hAnsi="Times New Roman"/>
          <w:spacing w:val="-2"/>
          <w:sz w:val="24"/>
          <w:szCs w:val="24"/>
        </w:rPr>
        <w:fldChar w:fldCharType="end"/>
      </w:r>
      <w:r w:rsidRPr="00C450A8">
        <w:rPr>
          <w:rFonts w:ascii="Times New Roman" w:hAnsi="Times New Roman"/>
          <w:spacing w:val="-2"/>
          <w:sz w:val="24"/>
          <w:szCs w:val="24"/>
        </w:rPr>
        <w:t xml:space="preserve">. Additionally, we processed three field blanks as a negative control that consisted of 1L of distilled water following the method above </w:t>
      </w:r>
      <w:r w:rsidRPr="00C450A8">
        <w:rPr>
          <w:rFonts w:ascii="Times New Roman" w:hAnsi="Times New Roman"/>
          <w:b/>
          <w:spacing w:val="-2"/>
          <w:sz w:val="24"/>
          <w:szCs w:val="24"/>
        </w:rPr>
        <w:fldChar w:fldCharType="begin" w:fldLock="1"/>
      </w:r>
      <w:r>
        <w:rPr>
          <w:rFonts w:ascii="Times New Roman" w:hAnsi="Times New Roman"/>
          <w:b/>
          <w:spacing w:val="-2"/>
          <w:sz w:val="24"/>
          <w:szCs w:val="24"/>
        </w:rPr>
        <w:instrText>ADDIN CSL_CITATION {"citationItems":[{"id":"ITEM-1","itemData":{"DOI":"10.1111/2041-210X.12595","abstract":"1. Species detection using environmental DNA (eDNA) has tremendous potential for contributing to the understanding of the ecology and conservation of aquatic species. Detecting species using eDNA methods, rather than directly sampling the organisms, can reduce impacts on sensitive species and increase the power of field surveys for rare and elusive species. The sensitivity of eDNA methods, however, requires a heightened awareness and attention to quality assurance and quality control protocols. Additionally, the interpretation of eDNA data demands careful consideration of multiple factors. As eDNA methods have grown in application, diverse approaches have been implemented to address these issues. With interest in eDNA continuing to expand, supportive guidelines for undertaking eDNA studies are greatly needed. 2. Environmental DNA researchers from around the world have collaborated to produce this set of guidelines and considerations for implementing eDNA methods to detect aquatic macroorganisms. 3. Critical considerations for study design include preventing contamination in the field and the laboratory, choosing appropriate sample analysis methods, validating assays, testing for sample inhibition and following minimum reporting guidelines. Critical considerations for inference include temporal and spatial processes, limits of correlation of eDNA with abundance, uncertainty of positive and negative results, and potential sources of allochthonous DNA. 4. We present a synthesis of knowledge at this stage for application of this new and powerful detection method.","author":[{"dropping-particle":"","family":"Goldberg","given":"Caren S","non-dropping-particle":"","parse-names":false,"suffix":""},{"dropping-particle":"","family":"Turner","given":"Cameron R","non-dropping-particle":"","parse-names":false,"suffix":""},{"dropping-particle":"","family":"Deiner","given":"Kristy","non-dropping-particle":"","parse-names":false,"suffix":""},{"dropping-particle":"","family":"Klymus","given":"Katy E","non-dropping-particle":"","parse-names":false,"suffix":""},{"dropping-particle":"","family":"Thomsen","given":"Philip Francis","non-dropping-particle":"","parse-names":false,"suffix":""},{"dropping-particle":"","family":"Murphy","given":"Melanie A","non-dropping-particle":"","parse-names":false,"suffix":""},{"dropping-particle":"","family":"Spear","given":"Stephen F","non-dropping-particle":"","parse-names":false,"suffix":""},{"dropping-particle":"","family":"Mckee","given":"Anna","non-dropping-particle":"","parse-names":false,"suffix":""},{"dropping-particle":"","family":"Oyler-Mccance","given":"Sara J","non-dropping-particle":"","parse-names":false,"suffix":""},{"dropping-particle":"","family":"Cornman","given":"Robert Scott","non-dropping-particle":"","parse-names":false,"suffix":""},{"dropping-particle":"","family":"Laramie","given":"Matthew B","non-dropping-particle":"","parse-names":false,"suffix":""},{"dropping-particle":"","family":"Mahon","given":"Andrew R","non-dropping-particle":"","parse-names":false,"suffix":""},{"dropping-particle":"","family":"Lance","given":"Richard F","non-dropping-particle":"","parse-names":false,"suffix":""},{"dropping-particle":"","family":"Pilliod","given":"David S","non-dropping-particle":"","parse-names":false,"suffix":""},{"dropping-particle":"","family":"Strickler","given":"Katherine M","non-dropping-particle":"","parse-names":false,"suffix":""},{"dropping-particle":"","family":"Waits","given":"Lisette P","non-dropping-particle":"","parse-names":false,"suffix":""},{"dropping-particle":"","family":"Fremier","given":"Alexander K","non-dropping-particle":"","parse-names":false,"suffix":""},{"dropping-particle":"","family":"Takahara","given":"Teruhiko","non-dropping-particle":"","parse-names":false,"suffix":""},{"dropping-particle":"","family":"Herder","given":"Jelger E","non-dropping-particle":"","parse-names":false,"suffix":""},{"dropping-particle":"","family":"Taberlet","given":"Pierre","non-dropping-particle":"","parse-names":false,"suffix":""}],"id":"ITEM-1","issued":{"date-parts":[["2016"]]},"title":"Critical considerations for the application of environmental DNA methods to detect aquatic species","type":"article-journal"},"uris":["http://www.mendeley.com/documents/?uuid=19a1528b-d3c6-357c-ab14-3d585ff6a8d9"]}],"mendeley":{"formattedCitation":"(Goldberg et al., 2016)","plainTextFormattedCitation":"(Goldberg et al., 2016)","previouslyFormattedCitation":"(Goldberg et al., 2016)"},"properties":{"noteIndex":0},"schema":"https://github.com/citation-style-language/schema/raw/master/csl-citation.json"}</w:instrText>
      </w:r>
      <w:r w:rsidRPr="00C450A8">
        <w:rPr>
          <w:rFonts w:ascii="Times New Roman" w:hAnsi="Times New Roman"/>
          <w:b/>
          <w:spacing w:val="-2"/>
          <w:sz w:val="24"/>
          <w:szCs w:val="24"/>
        </w:rPr>
        <w:fldChar w:fldCharType="separate"/>
      </w:r>
      <w:r w:rsidRPr="005603E0">
        <w:rPr>
          <w:rFonts w:ascii="Times New Roman" w:hAnsi="Times New Roman"/>
          <w:noProof/>
          <w:spacing w:val="-2"/>
          <w:sz w:val="24"/>
          <w:szCs w:val="24"/>
        </w:rPr>
        <w:t>(Goldberg et al., 2016)</w:t>
      </w:r>
      <w:r w:rsidRPr="00C450A8">
        <w:rPr>
          <w:rFonts w:ascii="Times New Roman" w:hAnsi="Times New Roman"/>
          <w:spacing w:val="-2"/>
          <w:sz w:val="24"/>
          <w:szCs w:val="24"/>
        </w:rPr>
        <w:fldChar w:fldCharType="end"/>
      </w:r>
      <w:r w:rsidRPr="00C450A8">
        <w:rPr>
          <w:rFonts w:ascii="Times New Roman" w:hAnsi="Times New Roman"/>
          <w:spacing w:val="-2"/>
          <w:sz w:val="24"/>
          <w:szCs w:val="24"/>
        </w:rPr>
        <w:t xml:space="preserve">. Finally, we dried eDNA containing Sterivex filters using a 3mL syringe to push through all remaining sea water, and then capped and stored the filters at -20˚C for DNA laboratory work back at UCLA </w:t>
      </w:r>
      <w:r w:rsidRPr="00C450A8">
        <w:rPr>
          <w:rFonts w:ascii="Times New Roman" w:hAnsi="Times New Roman"/>
          <w:spacing w:val="-2"/>
          <w:sz w:val="24"/>
          <w:szCs w:val="24"/>
        </w:rPr>
        <w:fldChar w:fldCharType="begin" w:fldLock="1"/>
      </w:r>
      <w:r>
        <w:rPr>
          <w:rFonts w:ascii="Times New Roman" w:hAnsi="Times New Roman"/>
          <w:spacing w:val="-2"/>
          <w:sz w:val="24"/>
          <w:szCs w:val="24"/>
        </w:rPr>
        <w:instrText>ADDIN CSL_CITATION {"citationItems":[{"id":"ITEM-1","itemData":{"DOI":"10.1098/rsos.150088","ISSN":"2054-5703","author":[{"dropping-particle":"","family":"Miya","given":"M.","non-dropping-particle":"","parse-names":false,"suffix":""},{"dropping-particle":"","family":"Sato","given":"Y.","non-dropping-particle":"","parse-names":false,"suffix":""},{"dropping-particle":"","family":"Fukunaga","given":"T.","non-dropping-particle":"","parse-names":false,"suffix":""},{"dropping-particle":"","family":"Sado","given":"T.","non-dropping-particle":"","parse-names":false,"suffix":""},{"dropping-particle":"","family":"Poulsen","given":"J. Y.","non-dropping-particle":"","parse-names":false,"suffix":""},{"dropping-particle":"","family":"Sato","given":"K.","non-dropping-particle":"","parse-names":false,"suffix":""},{"dropping-particle":"","family":"Minamoto","given":"T.","non-dropping-particle":"","parse-names":false,"suffix":""},{"dropping-particle":"","family":"Yamamoto","given":"S.","non-dropping-particle":"","parse-names":false,"suffix":""},{"dropping-particle":"","family":"Yamanaka","given":"H.","non-dropping-particle":"","parse-names":false,"suffix":""},{"dropping-particle":"","family":"Araki","given":"H.","non-dropping-particle":"","parse-names":false,"suffix":""},{"dropping-particle":"","family":"Kondoh","given":"M.","non-dropping-particle":"","parse-names":false,"suffix":""},{"dropping-particle":"","family":"Iwasaki","given":"W.","non-dropping-particle":"","parse-names":false,"suffix":""}],"container-title":"Royal Society Open Science","id":"ITEM-1","issue":"7","issued":{"date-parts":[["2015","7","1"]]},"language":"en","page":"150088","publisher":"The Royal Society","title":"MiFish, a set of universal PCR primers for metabarcoding environmental DNA from fishes: detection of more than 230 subtropical marine species","type":"article-journal","volume":"2"},"uris":["http://www.mendeley.com/documents/?uuid=1ddb355e-48fd-49c1-982c-ee4766847328"]}],"mendeley":{"formattedCitation":"(M. Miya et al., 2015)","plainTextFormattedCitation":"(M. Miya et al., 2015)","previouslyFormattedCitation":"(M. Miya et al., 2015)"},"properties":{"noteIndex":0},"schema":"https://github.com/citation-style-language/schema/raw/master/csl-citation.json"}</w:instrText>
      </w:r>
      <w:r w:rsidRPr="00C450A8">
        <w:rPr>
          <w:rFonts w:ascii="Times New Roman" w:hAnsi="Times New Roman"/>
          <w:spacing w:val="-2"/>
          <w:sz w:val="24"/>
          <w:szCs w:val="24"/>
        </w:rPr>
        <w:fldChar w:fldCharType="separate"/>
      </w:r>
      <w:r w:rsidRPr="005603E0">
        <w:rPr>
          <w:rFonts w:ascii="Times New Roman" w:hAnsi="Times New Roman"/>
          <w:noProof/>
          <w:spacing w:val="-2"/>
          <w:sz w:val="24"/>
          <w:szCs w:val="24"/>
        </w:rPr>
        <w:t>(M. Miya et al., 2015)</w:t>
      </w:r>
      <w:r w:rsidRPr="00C450A8">
        <w:rPr>
          <w:rFonts w:ascii="Times New Roman" w:hAnsi="Times New Roman"/>
          <w:spacing w:val="-2"/>
          <w:sz w:val="24"/>
          <w:szCs w:val="24"/>
        </w:rPr>
        <w:fldChar w:fldCharType="end"/>
      </w:r>
      <w:r w:rsidRPr="00C450A8">
        <w:rPr>
          <w:rFonts w:ascii="Times New Roman" w:hAnsi="Times New Roman"/>
          <w:spacing w:val="-2"/>
          <w:sz w:val="24"/>
          <w:szCs w:val="24"/>
        </w:rPr>
        <w:t>.</w:t>
      </w:r>
    </w:p>
    <w:p w:rsidR="00333B62" w:rsidRPr="00C450A8" w:rsidRDefault="00333B62" w:rsidP="00333B62">
      <w:pPr>
        <w:pStyle w:val="MDPI31text"/>
        <w:spacing w:before="120" w:line="480" w:lineRule="auto"/>
        <w:ind w:firstLine="0"/>
        <w:jc w:val="left"/>
        <w:rPr>
          <w:rFonts w:ascii="Times New Roman" w:hAnsi="Times New Roman"/>
          <w:i/>
          <w:iCs/>
          <w:spacing w:val="-2"/>
          <w:sz w:val="24"/>
          <w:szCs w:val="24"/>
        </w:rPr>
      </w:pPr>
      <w:r w:rsidRPr="00C450A8">
        <w:rPr>
          <w:rFonts w:ascii="Times New Roman" w:hAnsi="Times New Roman"/>
          <w:i/>
          <w:iCs/>
          <w:spacing w:val="-2"/>
          <w:sz w:val="24"/>
          <w:szCs w:val="24"/>
        </w:rPr>
        <w:lastRenderedPageBreak/>
        <w:t>DNA Extraction and Library Preparation</w:t>
      </w:r>
    </w:p>
    <w:p w:rsidR="00333B62" w:rsidRPr="00C450A8" w:rsidRDefault="00333B62" w:rsidP="00333B62">
      <w:pPr>
        <w:pStyle w:val="MDPI31text"/>
        <w:spacing w:line="480" w:lineRule="auto"/>
        <w:ind w:firstLine="0"/>
        <w:jc w:val="left"/>
        <w:rPr>
          <w:rFonts w:ascii="Times New Roman" w:hAnsi="Times New Roman"/>
          <w:spacing w:val="-2"/>
          <w:sz w:val="24"/>
          <w:szCs w:val="24"/>
        </w:rPr>
      </w:pPr>
      <w:r>
        <w:rPr>
          <w:rFonts w:ascii="Times New Roman" w:hAnsi="Times New Roman"/>
          <w:spacing w:val="-2"/>
          <w:sz w:val="24"/>
          <w:szCs w:val="24"/>
        </w:rPr>
        <w:t xml:space="preserve">We </w:t>
      </w:r>
      <w:r w:rsidRPr="00C450A8">
        <w:rPr>
          <w:rFonts w:ascii="Times New Roman" w:hAnsi="Times New Roman"/>
          <w:spacing w:val="-2"/>
          <w:sz w:val="24"/>
          <w:szCs w:val="24"/>
        </w:rPr>
        <w:t>extract</w:t>
      </w:r>
      <w:r>
        <w:rPr>
          <w:rFonts w:ascii="Times New Roman" w:hAnsi="Times New Roman"/>
          <w:spacing w:val="-2"/>
          <w:sz w:val="24"/>
          <w:szCs w:val="24"/>
        </w:rPr>
        <w:t>ed</w:t>
      </w:r>
      <w:r w:rsidRPr="00C450A8">
        <w:rPr>
          <w:rFonts w:ascii="Times New Roman" w:hAnsi="Times New Roman"/>
          <w:spacing w:val="-2"/>
          <w:sz w:val="24"/>
          <w:szCs w:val="24"/>
        </w:rPr>
        <w:t xml:space="preserve"> eDNA from the Sterivex cartridge us</w:t>
      </w:r>
      <w:r>
        <w:rPr>
          <w:rFonts w:ascii="Times New Roman" w:hAnsi="Times New Roman"/>
          <w:spacing w:val="-2"/>
          <w:sz w:val="24"/>
          <w:szCs w:val="24"/>
        </w:rPr>
        <w:t>ing</w:t>
      </w:r>
      <w:r w:rsidRPr="00C450A8">
        <w:rPr>
          <w:rFonts w:ascii="Times New Roman" w:hAnsi="Times New Roman"/>
          <w:spacing w:val="-2"/>
          <w:sz w:val="24"/>
          <w:szCs w:val="24"/>
        </w:rPr>
        <w:t xml:space="preserve"> </w:t>
      </w:r>
      <w:r>
        <w:rPr>
          <w:rFonts w:ascii="Times New Roman" w:hAnsi="Times New Roman"/>
          <w:spacing w:val="-2"/>
          <w:sz w:val="24"/>
          <w:szCs w:val="24"/>
        </w:rPr>
        <w:t>the</w:t>
      </w:r>
      <w:r w:rsidRPr="00C450A8">
        <w:rPr>
          <w:rFonts w:ascii="Times New Roman" w:hAnsi="Times New Roman"/>
          <w:spacing w:val="-2"/>
          <w:sz w:val="24"/>
          <w:szCs w:val="24"/>
        </w:rPr>
        <w:t xml:space="preserve"> DNAeasy Tissue and Blood Kit (Qiagen Inc., Germantown, MD) following modification</w:t>
      </w:r>
      <w:r>
        <w:rPr>
          <w:rFonts w:ascii="Times New Roman" w:hAnsi="Times New Roman"/>
          <w:spacing w:val="-2"/>
          <w:sz w:val="24"/>
          <w:szCs w:val="24"/>
        </w:rPr>
        <w:t>s</w:t>
      </w:r>
      <w:r w:rsidRPr="00C450A8">
        <w:rPr>
          <w:rFonts w:ascii="Times New Roman" w:hAnsi="Times New Roman"/>
          <w:spacing w:val="-2"/>
          <w:sz w:val="24"/>
          <w:szCs w:val="24"/>
        </w:rPr>
        <w:t xml:space="preserve"> of </w:t>
      </w:r>
      <w:r w:rsidRPr="00C450A8">
        <w:rPr>
          <w:rFonts w:ascii="Times New Roman" w:hAnsi="Times New Roman"/>
          <w:spacing w:val="-2"/>
          <w:sz w:val="24"/>
          <w:szCs w:val="24"/>
        </w:rPr>
        <w:fldChar w:fldCharType="begin" w:fldLock="1"/>
      </w:r>
      <w:r>
        <w:rPr>
          <w:rFonts w:ascii="Times New Roman" w:hAnsi="Times New Roman"/>
          <w:spacing w:val="-2"/>
          <w:sz w:val="24"/>
          <w:szCs w:val="24"/>
        </w:rPr>
        <w:instrText>ADDIN CSL_CITATION {"citationItems":[{"id":"ITEM-1","itemData":{"DOI":"10.1111/2041-210X.12683","ISSN":"2041210X","author":[{"dropping-particle":"","family":"Spens","given":"Johan","non-dropping-particle":"","parse-names":false,"suffix":""},{"dropping-particle":"","family":"Evans","given":"Alice R.","non-dropping-particle":"","parse-names":false,"suffix":""},{"dropping-particle":"","family":"Halfmaerten","given":"David","non-dropping-particle":"","parse-names":false,"suffix":""},{"dropping-particle":"","family":"Knudsen","given":"Steen W.","non-dropping-particle":"","parse-names":false,"suffix":""},{"dropping-particle":"","family":"Sengupta","given":"Mita E.","non-dropping-particle":"","parse-names":false,"suffix":""},{"dropping-particle":"","family":"Mak","given":"Sarah S. T.","non-dropping-particle":"","parse-names":false,"suffix":""},{"dropping-particle":"","family":"Sigsgaard","given":"Eva E.","non-dropping-particle":"","parse-names":false,"suffix":""},{"dropping-particle":"","family":"Hellström","given":"Micaela","non-dropping-particle":"","parse-names":false,"suffix":""}],"container-title":"Methods in Ecology and Evolution","editor":[{"dropping-particle":"","family":"Yu","given":"Douglas","non-dropping-particle":"","parse-names":false,"suffix":""}],"id":"ITEM-1","issue":"5","issued":{"date-parts":[["2017","5","1"]]},"page":"635-645","publisher":"Wiley/Blackwell (10.1111)","title":"Comparison of capture and storage methods for aqueous macrobial eDNA using an optimized extraction protocol: advantage of enclosed filter","type":"article-journal","volume":"8"},"uris":["http://www.mendeley.com/documents/?uuid=9efa6ffb-af13-3840-98c0-f6ca0e5355ca"]}],"mendeley":{"formattedCitation":"(Spens et al., 2017)","manualFormatting":"Spens et al. (2017)","plainTextFormattedCitation":"(Spens et al., 2017)","previouslyFormattedCitation":"(Spens et al., 2017)"},"properties":{"noteIndex":0},"schema":"https://github.com/citation-style-language/schema/raw/master/csl-citation.json"}</w:instrText>
      </w:r>
      <w:r w:rsidRPr="00C450A8">
        <w:rPr>
          <w:rFonts w:ascii="Times New Roman" w:hAnsi="Times New Roman"/>
          <w:spacing w:val="-2"/>
          <w:sz w:val="24"/>
          <w:szCs w:val="24"/>
        </w:rPr>
        <w:fldChar w:fldCharType="separate"/>
      </w:r>
      <w:r w:rsidRPr="00C450A8">
        <w:rPr>
          <w:rFonts w:ascii="Times New Roman" w:hAnsi="Times New Roman"/>
          <w:noProof/>
          <w:spacing w:val="-2"/>
          <w:sz w:val="24"/>
          <w:szCs w:val="24"/>
        </w:rPr>
        <w:t>Spens et al. (2017)</w:t>
      </w:r>
      <w:r w:rsidRPr="00C450A8">
        <w:rPr>
          <w:rFonts w:ascii="Times New Roman" w:hAnsi="Times New Roman"/>
          <w:spacing w:val="-2"/>
          <w:sz w:val="24"/>
          <w:szCs w:val="24"/>
        </w:rPr>
        <w:fldChar w:fldCharType="end"/>
      </w:r>
      <w:r w:rsidRPr="00C450A8">
        <w:rPr>
          <w:rFonts w:ascii="Times New Roman" w:hAnsi="Times New Roman"/>
          <w:spacing w:val="-2"/>
          <w:sz w:val="24"/>
          <w:szCs w:val="24"/>
        </w:rPr>
        <w:t xml:space="preserve">, directly adding proteinase K and ATL buffer inside the filter cartridge before an overnight incubation. We PCR amplified the extracted eDNA using the MiFish Universal Teleost </w:t>
      </w:r>
      <w:r w:rsidRPr="00C450A8">
        <w:rPr>
          <w:rFonts w:ascii="Times New Roman" w:hAnsi="Times New Roman"/>
          <w:i/>
          <w:spacing w:val="-2"/>
          <w:sz w:val="24"/>
          <w:szCs w:val="24"/>
        </w:rPr>
        <w:t>12S</w:t>
      </w:r>
      <w:r w:rsidRPr="00C450A8">
        <w:rPr>
          <w:rFonts w:ascii="Times New Roman" w:hAnsi="Times New Roman"/>
          <w:spacing w:val="-2"/>
          <w:sz w:val="24"/>
          <w:szCs w:val="24"/>
        </w:rPr>
        <w:t xml:space="preserve"> primer </w:t>
      </w:r>
      <w:r w:rsidRPr="00C450A8">
        <w:rPr>
          <w:rFonts w:ascii="Times New Roman" w:hAnsi="Times New Roman"/>
          <w:spacing w:val="-2"/>
          <w:sz w:val="24"/>
          <w:szCs w:val="24"/>
        </w:rPr>
        <w:fldChar w:fldCharType="begin" w:fldLock="1"/>
      </w:r>
      <w:r>
        <w:rPr>
          <w:rFonts w:ascii="Times New Roman" w:hAnsi="Times New Roman"/>
          <w:spacing w:val="-2"/>
          <w:sz w:val="24"/>
          <w:szCs w:val="24"/>
        </w:rPr>
        <w:instrText>ADDIN CSL_CITATION {"citationItems":[{"id":"ITEM-1","itemData":{"DOI":"10.1098/rsos.150088","ISSN":"2054-5703","author":[{"dropping-particle":"","family":"Miya","given":"M.","non-dropping-particle":"","parse-names":false,"suffix":""},{"dropping-particle":"","family":"Sato","given":"Y.","non-dropping-particle":"","parse-names":false,"suffix":""},{"dropping-particle":"","family":"Fukunaga","given":"T.","non-dropping-particle":"","parse-names":false,"suffix":""},{"dropping-particle":"","family":"Sado","given":"T.","non-dropping-particle":"","parse-names":false,"suffix":""},{"dropping-particle":"","family":"Poulsen","given":"J. Y.","non-dropping-particle":"","parse-names":false,"suffix":""},{"dropping-particle":"","family":"Sato","given":"K.","non-dropping-particle":"","parse-names":false,"suffix":""},{"dropping-particle":"","family":"Minamoto","given":"T.","non-dropping-particle":"","parse-names":false,"suffix":""},{"dropping-particle":"","family":"Yamamoto","given":"S.","non-dropping-particle":"","parse-names":false,"suffix":""},{"dropping-particle":"","family":"Yamanaka","given":"H.","non-dropping-particle":"","parse-names":false,"suffix":""},{"dropping-particle":"","family":"Araki","given":"H.","non-dropping-particle":"","parse-names":false,"suffix":""},{"dropping-particle":"","family":"Kondoh","given":"M.","non-dropping-particle":"","parse-names":false,"suffix":""},{"dropping-particle":"","family":"Iwasaki","given":"W.","non-dropping-particle":"","parse-names":false,"suffix":""}],"container-title":"Royal Society Open Science","id":"ITEM-1","issue":"7","issued":{"date-parts":[["2015","7","1"]]},"language":"en","page":"150088","publisher":"The Royal Society","title":"MiFish, a set of universal PCR primers for metabarcoding environmental DNA from fishes: detection of more than 230 subtropical marine species","type":"article-journal","volume":"2"},"uris":["http://www.mendeley.com/documents/?uuid=1ddb355e-48fd-49c1-982c-ee4766847328"]}],"mendeley":{"formattedCitation":"(M. Miya et al., 2015)","plainTextFormattedCitation":"(M. Miya et al., 2015)","previouslyFormattedCitation":"(M. Miya et al., 2015)"},"properties":{"noteIndex":0},"schema":"https://github.com/citation-style-language/schema/raw/master/csl-citation.json"}</w:instrText>
      </w:r>
      <w:r w:rsidRPr="00C450A8">
        <w:rPr>
          <w:rFonts w:ascii="Times New Roman" w:hAnsi="Times New Roman"/>
          <w:spacing w:val="-2"/>
          <w:sz w:val="24"/>
          <w:szCs w:val="24"/>
        </w:rPr>
        <w:fldChar w:fldCharType="separate"/>
      </w:r>
      <w:r w:rsidRPr="005603E0">
        <w:rPr>
          <w:rFonts w:ascii="Times New Roman" w:hAnsi="Times New Roman"/>
          <w:noProof/>
          <w:spacing w:val="-2"/>
          <w:sz w:val="24"/>
          <w:szCs w:val="24"/>
        </w:rPr>
        <w:t>(M. Miya et al., 2015)</w:t>
      </w:r>
      <w:r w:rsidRPr="00C450A8">
        <w:rPr>
          <w:rFonts w:ascii="Times New Roman" w:hAnsi="Times New Roman"/>
          <w:spacing w:val="-2"/>
          <w:sz w:val="24"/>
          <w:szCs w:val="24"/>
        </w:rPr>
        <w:fldChar w:fldCharType="end"/>
      </w:r>
      <w:r w:rsidRPr="00C450A8">
        <w:rPr>
          <w:rFonts w:ascii="Times New Roman" w:hAnsi="Times New Roman"/>
          <w:spacing w:val="-2"/>
          <w:sz w:val="24"/>
          <w:szCs w:val="24"/>
        </w:rPr>
        <w:t xml:space="preserve"> with Nextera modifications following </w:t>
      </w:r>
      <w:r w:rsidRPr="00C450A8">
        <w:rPr>
          <w:rFonts w:ascii="Times New Roman" w:hAnsi="Times New Roman"/>
          <w:spacing w:val="-2"/>
          <w:sz w:val="24"/>
          <w:szCs w:val="24"/>
        </w:rPr>
        <w:fldChar w:fldCharType="begin" w:fldLock="1"/>
      </w:r>
      <w:r>
        <w:rPr>
          <w:rFonts w:ascii="Times New Roman" w:hAnsi="Times New Roman"/>
          <w:spacing w:val="-2"/>
          <w:sz w:val="24"/>
          <w:szCs w:val="24"/>
        </w:rPr>
        <w:instrText>ADDIN CSL_CITATION {"citationItems":[{"id":"ITEM-1","itemData":{"DOI":"https://doi.org/10.1111/2041-210X.13214","ISSN":"2041210X","abstract":"Environmental DNA (eDNA) metabarcoding is a promising method to monitor species and community diversity that is rapid, affordable, and non-invasive. Longstanding needs of the eDNA community are modular informatics tools, comprehensive and customizable reference databases, flexibility across high-throughput sequencing platforms, fast multilocus metabarcode processing, and accurate taxonomic assignment. As bioinformatics tools continue to improve, addressing each of these demands within a single bioinformatics toolkit is becoming a reality. We present the modular metabarcode sequence toolkit Anacapa (https://github.com/limey-bean/Anacapa/), which addresses the above needs, allowing users to build comprehensive reference databases and assign taxonomy to raw multilocus metabarcode sequence data. A novel aspect of Anacapa is our database building module, Creating Reference libraries Using eXisting tools (CRUX), which generates comprehensive reference databases for specific user-defined metabarcode loci. The Quality Control and Dereplication module sorts and processes multiple metabarcode loci and processes merged, unmerged and unpaired reads maximizing recovered diversity. This is followed by amplicon sequence variant (ASV) detection using DADA2. The Anacapa Classifier module then aligns these ASVs to CRUX-generated reference databases using Bowtie2. Taxonomy is assigned to ASVs with confidence scores using a Bayesian Lowest Common Ancestor (BLCA) method. The Anacapa Toolkit also includes an R package, ranacapa, for automated results exploration through standard biodiversity statistical analysis. We performed a series of benchmarking tests to verify that the Anacapa Toolkit generates comprehensive reference databases that capture wide taxonomic diversity and that it can assign high-quality taxonomy to both MiSeq-length and Hi-Seq length sequence data. We demonstrate the value of the Anacapa Toolkit to assigning taxonomy to eDNA sequences from seawater samples from southern California including the capability of this tool kit to process multilocus metabarcoding data. The Anacapa Toolkit broadens the exploration of eDNA and assists in biodiversity assessment and management by generating metabarcode specific databases, processing multilocus data, retaining all read types, and expanding non-traditional eDNA targets. Anacapa Toolkit software and source code are open and available in a virtual container to ease installation.","author":[{"dropping-particle":"","family":"Curd","given":"Emily E.","non-dropping-particle":"","parse-names":false,"suffix":""},{"dropping-particle":"","family":"Gold","given":"Zack","non-dropping-particle":"","parse-names":false,"suffix":""},{"dropping-particle":"","family":"Kandlikar","given":"Gaurav S.","non-dropping-particle":"","parse-names":false,"suffix":""},{"dropping-particle":"","family":"Gomer","given":"Jesse","non-dropping-particle":"","parse-names":false,"suffix":""},{"dropping-particle":"","family":"Ogden","given":"Max","non-dropping-particle":"","parse-names":false,"suffix":""},{"dropping-particle":"","family":"O'Connell","given":"Taylor","non-dropping-particle":"","parse-names":false,"suffix":""},{"dropping-particle":"","family":"Pipes","given":"Lenore","non-dropping-particle":"","parse-names":false,"suffix":""},{"dropping-particle":"","family":"Schweizer","given":"Teia M.","non-dropping-particle":"","parse-names":false,"suffix":""},{"dropping-particle":"","family":"Rabichow","given":"Laura","non-dropping-particle":"","parse-names":false,"suffix":""},{"dropping-particle":"","family":"Lin","given":"Meixi","non-dropping-particle":"","parse-names":false,"suffix":""},{"dropping-particle":"","family":"Shi","given":"Baochen","non-dropping-particle":"","parse-names":false,"suffix":""},{"dropping-particle":"","family":"Barber","given":"Paul H.","non-dropping-particle":"","parse-names":false,"suffix":""},{"dropping-particle":"","family":"Kraft","given":"Nathan","non-dropping-particle":"","parse-names":false,"suffix":""},{"dropping-particle":"","family":"Wayne","given":"Robert","non-dropping-particle":"","parse-names":false,"suffix":""},{"dropping-particle":"","family":"Meyer","given":"Rachel S.","non-dropping-particle":"","parse-names":false,"suffix":""}],"container-title":"Methods in Ecology and Evolution","id":"ITEM-1","issued":{"date-parts":[["2019"]]},"page":"1469– 1475","publisher":"British Ecological Society","title":"Anacapa: an environmental DNA toolkit for processing multilocus metabarcode datasets","type":"article-journal","volume":"10"},"uris":["http://www.mendeley.com/documents/?uuid=ad58049a-bc81-45af-b79e-07ce67c1969f"]}],"mendeley":{"formattedCitation":"(Curd et al., 2019)","manualFormatting":"Curd et al. (2019","plainTextFormattedCitation":"(Curd et al., 2019)","previouslyFormattedCitation":"(Curd et al., 2019)"},"properties":{"noteIndex":0},"schema":"https://github.com/citation-style-language/schema/raw/master/csl-citation.json"}</w:instrText>
      </w:r>
      <w:r w:rsidRPr="00C450A8">
        <w:rPr>
          <w:rFonts w:ascii="Times New Roman" w:hAnsi="Times New Roman"/>
          <w:spacing w:val="-2"/>
          <w:sz w:val="24"/>
          <w:szCs w:val="24"/>
        </w:rPr>
        <w:fldChar w:fldCharType="separate"/>
      </w:r>
      <w:r w:rsidRPr="00C450A8">
        <w:rPr>
          <w:rFonts w:ascii="Times New Roman" w:hAnsi="Times New Roman"/>
          <w:noProof/>
          <w:spacing w:val="-2"/>
          <w:sz w:val="24"/>
          <w:szCs w:val="24"/>
        </w:rPr>
        <w:t>Curd et al. (2019</w:t>
      </w:r>
      <w:r w:rsidRPr="00C450A8">
        <w:rPr>
          <w:rFonts w:ascii="Times New Roman" w:hAnsi="Times New Roman"/>
          <w:spacing w:val="-2"/>
          <w:sz w:val="24"/>
          <w:szCs w:val="24"/>
        </w:rPr>
        <w:fldChar w:fldCharType="end"/>
      </w:r>
      <w:r w:rsidRPr="00C450A8">
        <w:rPr>
          <w:rFonts w:ascii="Times New Roman" w:hAnsi="Times New Roman"/>
          <w:spacing w:val="-2"/>
          <w:sz w:val="24"/>
          <w:szCs w:val="24"/>
        </w:rPr>
        <w:t>) (See supplemental methods). All PCRs included a negative control where molecular grade water replaced the DNA extraction. For positive controls, we used DNA extractions of Grass carp (</w:t>
      </w:r>
      <w:r w:rsidRPr="00C450A8">
        <w:rPr>
          <w:rFonts w:ascii="Times New Roman" w:hAnsi="Times New Roman"/>
          <w:i/>
          <w:spacing w:val="-2"/>
          <w:sz w:val="24"/>
          <w:szCs w:val="24"/>
        </w:rPr>
        <w:t>Ctenopharyngodon idella)</w:t>
      </w:r>
      <w:r w:rsidRPr="00C450A8">
        <w:rPr>
          <w:rFonts w:ascii="Times New Roman" w:hAnsi="Times New Roman"/>
          <w:spacing w:val="-2"/>
          <w:sz w:val="24"/>
          <w:szCs w:val="24"/>
        </w:rPr>
        <w:t xml:space="preserve"> and Atlantic salmon (</w:t>
      </w:r>
      <w:r w:rsidRPr="00C450A8">
        <w:rPr>
          <w:rFonts w:ascii="Times New Roman" w:hAnsi="Times New Roman"/>
          <w:i/>
          <w:spacing w:val="-2"/>
          <w:sz w:val="24"/>
          <w:szCs w:val="24"/>
        </w:rPr>
        <w:t>Salmo salar</w:t>
      </w:r>
      <w:r w:rsidRPr="00C450A8">
        <w:rPr>
          <w:rFonts w:ascii="Times New Roman" w:hAnsi="Times New Roman"/>
          <w:spacing w:val="-2"/>
          <w:sz w:val="24"/>
          <w:szCs w:val="24"/>
        </w:rPr>
        <w:t xml:space="preserve">), both non-native to California. To ensure amplification success and correct product size, we electrophoresed all PCR products on 2% agarose stained with SybrGreen. </w:t>
      </w:r>
    </w:p>
    <w:p w:rsidR="00333B62" w:rsidRPr="00C450A8" w:rsidRDefault="00333B62" w:rsidP="00333B62">
      <w:pPr>
        <w:pStyle w:val="MDPI31text"/>
        <w:spacing w:line="480" w:lineRule="auto"/>
        <w:jc w:val="left"/>
        <w:rPr>
          <w:rFonts w:ascii="Times New Roman" w:hAnsi="Times New Roman"/>
          <w:spacing w:val="-2"/>
          <w:sz w:val="24"/>
          <w:szCs w:val="24"/>
        </w:rPr>
      </w:pPr>
      <w:r>
        <w:rPr>
          <w:rFonts w:ascii="Times New Roman" w:hAnsi="Times New Roman"/>
          <w:spacing w:val="-2"/>
          <w:sz w:val="24"/>
          <w:szCs w:val="24"/>
        </w:rPr>
        <w:t>We prepared</w:t>
      </w:r>
      <w:r w:rsidRPr="00C450A8">
        <w:rPr>
          <w:rFonts w:ascii="Times New Roman" w:hAnsi="Times New Roman"/>
          <w:spacing w:val="-2"/>
          <w:sz w:val="24"/>
          <w:szCs w:val="24"/>
        </w:rPr>
        <w:t xml:space="preserve"> PCR products for sequencing</w:t>
      </w:r>
      <w:r>
        <w:rPr>
          <w:rFonts w:ascii="Times New Roman" w:hAnsi="Times New Roman"/>
          <w:spacing w:val="-2"/>
          <w:sz w:val="24"/>
          <w:szCs w:val="24"/>
        </w:rPr>
        <w:t xml:space="preserve"> by</w:t>
      </w:r>
      <w:r w:rsidRPr="00C450A8">
        <w:rPr>
          <w:rFonts w:ascii="Times New Roman" w:hAnsi="Times New Roman"/>
          <w:spacing w:val="-2"/>
          <w:sz w:val="24"/>
          <w:szCs w:val="24"/>
        </w:rPr>
        <w:t xml:space="preserve"> pool</w:t>
      </w:r>
      <w:r>
        <w:rPr>
          <w:rFonts w:ascii="Times New Roman" w:hAnsi="Times New Roman"/>
          <w:spacing w:val="-2"/>
          <w:sz w:val="24"/>
          <w:szCs w:val="24"/>
        </w:rPr>
        <w:t>ing</w:t>
      </w:r>
      <w:r w:rsidRPr="00C450A8">
        <w:rPr>
          <w:rFonts w:ascii="Times New Roman" w:hAnsi="Times New Roman"/>
          <w:spacing w:val="-2"/>
          <w:sz w:val="24"/>
          <w:szCs w:val="24"/>
        </w:rPr>
        <w:t xml:space="preserve"> 5µL </w:t>
      </w:r>
      <w:r>
        <w:rPr>
          <w:rFonts w:ascii="Times New Roman" w:hAnsi="Times New Roman"/>
          <w:spacing w:val="-2"/>
          <w:sz w:val="24"/>
          <w:szCs w:val="24"/>
        </w:rPr>
        <w:t xml:space="preserve">of </w:t>
      </w:r>
      <w:r w:rsidRPr="00C450A8">
        <w:rPr>
          <w:rFonts w:ascii="Times New Roman" w:hAnsi="Times New Roman"/>
          <w:spacing w:val="-2"/>
          <w:sz w:val="24"/>
          <w:szCs w:val="24"/>
        </w:rPr>
        <w:t>triplicate PCR reactions (“technical replicates”)</w:t>
      </w:r>
      <w:r>
        <w:rPr>
          <w:rFonts w:ascii="Times New Roman" w:hAnsi="Times New Roman"/>
          <w:spacing w:val="-2"/>
          <w:sz w:val="24"/>
          <w:szCs w:val="24"/>
        </w:rPr>
        <w:t xml:space="preserve">, </w:t>
      </w:r>
      <w:r w:rsidRPr="00C450A8">
        <w:rPr>
          <w:rFonts w:ascii="Times New Roman" w:hAnsi="Times New Roman"/>
          <w:spacing w:val="-2"/>
          <w:sz w:val="24"/>
          <w:szCs w:val="24"/>
        </w:rPr>
        <w:t>clean</w:t>
      </w:r>
      <w:r>
        <w:rPr>
          <w:rFonts w:ascii="Times New Roman" w:hAnsi="Times New Roman"/>
          <w:spacing w:val="-2"/>
          <w:sz w:val="24"/>
          <w:szCs w:val="24"/>
        </w:rPr>
        <w:t>ing</w:t>
      </w:r>
      <w:r w:rsidRPr="00C450A8">
        <w:rPr>
          <w:rFonts w:ascii="Times New Roman" w:hAnsi="Times New Roman"/>
          <w:spacing w:val="-2"/>
          <w:sz w:val="24"/>
          <w:szCs w:val="24"/>
        </w:rPr>
        <w:t xml:space="preserve"> the pooled samples using Serapure magnetic beads </w:t>
      </w:r>
      <w:r w:rsidRPr="00C450A8">
        <w:rPr>
          <w:rFonts w:ascii="Times New Roman" w:hAnsi="Times New Roman"/>
          <w:spacing w:val="-2"/>
          <w:sz w:val="24"/>
          <w:szCs w:val="24"/>
        </w:rPr>
        <w:fldChar w:fldCharType="begin" w:fldLock="1"/>
      </w:r>
      <w:r>
        <w:rPr>
          <w:rFonts w:ascii="Times New Roman" w:hAnsi="Times New Roman"/>
          <w:spacing w:val="-2"/>
          <w:sz w:val="24"/>
          <w:szCs w:val="24"/>
        </w:rPr>
        <w:instrText>ADDIN CSL_CITATION {"citationItems":[{"id":"ITEM-1","itemData":{"author":[{"dropping-particle":"","family":"Faircloth","given":"B C","non-dropping-particle":"","parse-names":false,"suffix":""},{"dropping-particle":"","family":"Glenn","given":"T C","non-dropping-particle":"","parse-names":false,"suffix":""}],"container-title":"DOI","id":"ITEM-1","issued":{"date-parts":[["2014"]]},"page":"J9MW2F26","title":"Protocol: Preparation of an AMPure XP substitute (AKA Serapure)","type":"article-journal","volume":"10"},"uris":["http://www.mendeley.com/documents/?uuid=7d133f7c-dd95-471e-909b-98b7da29f5d5"]}],"mendeley":{"formattedCitation":"(Faircloth &amp; Glenn, 2014)","plainTextFormattedCitation":"(Faircloth &amp; Glenn, 2014)","previouslyFormattedCitation":"(Faircloth &amp; Glenn, 2014)"},"properties":{"noteIndex":0},"schema":"https://github.com/citation-style-language/schema/raw/master/csl-citation.json"}</w:instrText>
      </w:r>
      <w:r w:rsidRPr="00C450A8">
        <w:rPr>
          <w:rFonts w:ascii="Times New Roman" w:hAnsi="Times New Roman"/>
          <w:spacing w:val="-2"/>
          <w:sz w:val="24"/>
          <w:szCs w:val="24"/>
        </w:rPr>
        <w:fldChar w:fldCharType="separate"/>
      </w:r>
      <w:r w:rsidRPr="005603E0">
        <w:rPr>
          <w:rFonts w:ascii="Times New Roman" w:hAnsi="Times New Roman"/>
          <w:noProof/>
          <w:spacing w:val="-2"/>
          <w:sz w:val="24"/>
          <w:szCs w:val="24"/>
        </w:rPr>
        <w:t>(Faircloth &amp; Glenn, 2014)</w:t>
      </w:r>
      <w:r w:rsidRPr="00C450A8">
        <w:rPr>
          <w:rFonts w:ascii="Times New Roman" w:hAnsi="Times New Roman"/>
          <w:spacing w:val="-2"/>
          <w:sz w:val="24"/>
          <w:szCs w:val="24"/>
        </w:rPr>
        <w:fldChar w:fldCharType="end"/>
      </w:r>
      <w:r w:rsidRPr="00C450A8">
        <w:rPr>
          <w:rFonts w:ascii="Times New Roman" w:hAnsi="Times New Roman"/>
          <w:spacing w:val="-2"/>
          <w:sz w:val="24"/>
          <w:szCs w:val="24"/>
        </w:rPr>
        <w:t xml:space="preserve"> and </w:t>
      </w:r>
      <w:r>
        <w:rPr>
          <w:rFonts w:ascii="Times New Roman" w:hAnsi="Times New Roman"/>
          <w:spacing w:val="-2"/>
          <w:sz w:val="24"/>
          <w:szCs w:val="24"/>
        </w:rPr>
        <w:t xml:space="preserve">then </w:t>
      </w:r>
      <w:r w:rsidRPr="00C450A8">
        <w:rPr>
          <w:rFonts w:ascii="Times New Roman" w:hAnsi="Times New Roman"/>
          <w:spacing w:val="-2"/>
          <w:sz w:val="24"/>
          <w:szCs w:val="24"/>
        </w:rPr>
        <w:t>quantif</w:t>
      </w:r>
      <w:r>
        <w:rPr>
          <w:rFonts w:ascii="Times New Roman" w:hAnsi="Times New Roman"/>
          <w:spacing w:val="-2"/>
          <w:sz w:val="24"/>
          <w:szCs w:val="24"/>
        </w:rPr>
        <w:t>ying</w:t>
      </w:r>
      <w:r w:rsidRPr="00C450A8">
        <w:rPr>
          <w:rFonts w:ascii="Times New Roman" w:hAnsi="Times New Roman"/>
          <w:spacing w:val="-2"/>
          <w:sz w:val="24"/>
          <w:szCs w:val="24"/>
        </w:rPr>
        <w:t xml:space="preserve"> their concentrations using the Quant-</w:t>
      </w:r>
      <w:proofErr w:type="spellStart"/>
      <w:r w:rsidRPr="00C450A8">
        <w:rPr>
          <w:rFonts w:ascii="Times New Roman" w:hAnsi="Times New Roman"/>
          <w:spacing w:val="-2"/>
          <w:sz w:val="24"/>
          <w:szCs w:val="24"/>
        </w:rPr>
        <w:t>iT</w:t>
      </w:r>
      <w:proofErr w:type="spellEnd"/>
      <w:r w:rsidRPr="00C450A8">
        <w:rPr>
          <w:rFonts w:ascii="Times New Roman" w:hAnsi="Times New Roman"/>
          <w:spacing w:val="-2"/>
          <w:sz w:val="24"/>
          <w:szCs w:val="24"/>
        </w:rPr>
        <w:t xml:space="preserve">™ dsDNA Assay Kit (Thermofisher Scientific, Waltham, MA, USA) on a Victor3 plate reader (Perkin Elmer Waltham, MA, USA). We prepared </w:t>
      </w:r>
      <w:r w:rsidRPr="00C450A8">
        <w:rPr>
          <w:rFonts w:ascii="Times New Roman" w:hAnsi="Times New Roman"/>
          <w:spacing w:val="-2"/>
          <w:sz w:val="24"/>
          <w:szCs w:val="24"/>
          <w:lang w:val="en"/>
        </w:rPr>
        <w:t xml:space="preserve">sample DNA libraries using indexes from both the Nextera Index A and D Kit (Illumina, San Diego, CA, UCA) and KAPA HiFi HotStart Ready Mix (Kapa Biosystems, Wilmington, MA, USA) following Curd et al. (2019) (See supplemental methods). We electrophoresed all </w:t>
      </w:r>
      <w:r w:rsidRPr="00C450A8">
        <w:rPr>
          <w:rFonts w:ascii="Times New Roman" w:hAnsi="Times New Roman"/>
          <w:spacing w:val="-2"/>
          <w:sz w:val="24"/>
          <w:szCs w:val="24"/>
        </w:rPr>
        <w:t>indexed PCR products on 2% agarose gels to confirm correct product size</w:t>
      </w:r>
      <w:r>
        <w:rPr>
          <w:rFonts w:ascii="Times New Roman" w:hAnsi="Times New Roman"/>
          <w:spacing w:val="-2"/>
          <w:sz w:val="24"/>
          <w:szCs w:val="24"/>
        </w:rPr>
        <w:t xml:space="preserve">, and </w:t>
      </w:r>
      <w:r w:rsidRPr="00C450A8">
        <w:rPr>
          <w:rFonts w:ascii="Times New Roman" w:hAnsi="Times New Roman"/>
          <w:spacing w:val="-2"/>
          <w:sz w:val="24"/>
          <w:szCs w:val="24"/>
        </w:rPr>
        <w:t>bead cleaned and quantified the resulting libraries as described above. Finally, we pooled Indexed libraries in equimolar concentration, and sequenced the libraries on a MiSeq PE 2x300bp at the Technology Center for Genomics &amp; Bioinformatics (University of California- Los Angeles, CA, USA), using Reagent Kit V3 with 20% PhiX added to all sequencing runs.</w:t>
      </w:r>
    </w:p>
    <w:p w:rsidR="00333B62" w:rsidRDefault="00333B62" w:rsidP="00333B62">
      <w:pPr>
        <w:pStyle w:val="MDPI35textbeforelist"/>
        <w:spacing w:line="480" w:lineRule="auto"/>
        <w:ind w:firstLine="0"/>
        <w:jc w:val="left"/>
        <w:rPr>
          <w:rFonts w:ascii="Times New Roman" w:hAnsi="Times New Roman"/>
          <w:i/>
          <w:sz w:val="24"/>
          <w:szCs w:val="24"/>
        </w:rPr>
      </w:pPr>
    </w:p>
    <w:p w:rsidR="00333B62" w:rsidRDefault="00333B62" w:rsidP="00333B62">
      <w:pPr>
        <w:pStyle w:val="MDPI35textbeforelist"/>
        <w:spacing w:line="480" w:lineRule="auto"/>
        <w:ind w:firstLine="0"/>
        <w:jc w:val="left"/>
        <w:rPr>
          <w:rFonts w:ascii="Times New Roman" w:hAnsi="Times New Roman"/>
          <w:i/>
          <w:sz w:val="24"/>
          <w:szCs w:val="24"/>
        </w:rPr>
      </w:pPr>
    </w:p>
    <w:p w:rsidR="007773B0" w:rsidRPr="00FF6057" w:rsidRDefault="007773B0" w:rsidP="00333B62">
      <w:pPr>
        <w:pStyle w:val="MDPI35textbeforelist"/>
        <w:spacing w:line="480" w:lineRule="auto"/>
        <w:ind w:firstLine="0"/>
        <w:jc w:val="left"/>
        <w:rPr>
          <w:rFonts w:ascii="Times New Roman" w:hAnsi="Times New Roman"/>
          <w:i/>
          <w:sz w:val="24"/>
          <w:szCs w:val="24"/>
        </w:rPr>
      </w:pPr>
      <w:r w:rsidRPr="00FF6057">
        <w:rPr>
          <w:rFonts w:ascii="Times New Roman" w:hAnsi="Times New Roman"/>
          <w:i/>
          <w:sz w:val="24"/>
          <w:szCs w:val="24"/>
        </w:rPr>
        <w:t>First PCR Protocol</w:t>
      </w:r>
    </w:p>
    <w:p w:rsidR="007773B0" w:rsidRPr="00CC646C" w:rsidRDefault="007773B0" w:rsidP="00333B62">
      <w:pPr>
        <w:pStyle w:val="MDPI31text"/>
        <w:spacing w:line="480" w:lineRule="auto"/>
        <w:ind w:firstLine="0"/>
        <w:jc w:val="left"/>
        <w:rPr>
          <w:rFonts w:ascii="Times New Roman" w:hAnsi="Times New Roman"/>
          <w:sz w:val="24"/>
          <w:szCs w:val="24"/>
        </w:rPr>
      </w:pPr>
      <w:r w:rsidRPr="00CC646C">
        <w:rPr>
          <w:rFonts w:ascii="Times New Roman" w:hAnsi="Times New Roman"/>
          <w:sz w:val="24"/>
          <w:szCs w:val="24"/>
        </w:rPr>
        <w:t>We performed PCR amplification in triplicate using a 25 μL reaction volume containing 12.5 μL QIAGEN Multiplex Taq PCR 2x Master Mix (Qiagen Inc., Valencia, CA, USA), 6.5 µ</w:t>
      </w:r>
      <w:proofErr w:type="spellStart"/>
      <w:r w:rsidRPr="00CC646C">
        <w:rPr>
          <w:rFonts w:ascii="Times New Roman" w:hAnsi="Times New Roman"/>
          <w:sz w:val="24"/>
          <w:szCs w:val="24"/>
        </w:rPr>
        <w:t>Lof</w:t>
      </w:r>
      <w:proofErr w:type="spellEnd"/>
      <w:r w:rsidRPr="00CC646C">
        <w:rPr>
          <w:rFonts w:ascii="Times New Roman" w:hAnsi="Times New Roman"/>
          <w:sz w:val="24"/>
          <w:szCs w:val="24"/>
        </w:rPr>
        <w:t xml:space="preserve"> dH2O, 2.5 µL of each primer (2 µmol/L), and 1 μL DNA extraction. PCR thermocycling employed a touchdown profile with an initial denaturation at 95°C for 15 min to activate the DNA polymerase. This was followed by 13 cycles of a denaturation step at 94°C for 30 sec, an annealing step starting at 69.5°C for 30 sec which was then decreased by 1.5°C for each cycle (last cycle was 50°C), and an extension step at 72°C for 1 min. This was followed by 35 additional cycles carried out at an annealing temperature of 50°C using the same denaturation and extension steps above, and ending with a final extension at 72°C for 10 min </w:t>
      </w:r>
      <w:r w:rsidRPr="00CC646C">
        <w:rPr>
          <w:rFonts w:ascii="Times New Roman" w:hAnsi="Times New Roman"/>
          <w:sz w:val="24"/>
          <w:szCs w:val="24"/>
        </w:rPr>
        <w:fldChar w:fldCharType="begin" w:fldLock="1"/>
      </w:r>
      <w:r w:rsidR="00333B62">
        <w:rPr>
          <w:rFonts w:ascii="Times New Roman" w:hAnsi="Times New Roman"/>
          <w:sz w:val="24"/>
          <w:szCs w:val="24"/>
        </w:rPr>
        <w:instrText>ADDIN CSL_CITATION {"citationItems":[{"id":"ITEM-1","itemData":{"DOI":"https://doi.org/10.1111/2041-210X.13214","ISSN":"2041210X","abstract":"Environmental DNA (eDNA) metabarcoding is a promising method to monitor species and community diversity that is rapid, affordable, and non-invasive. Longstanding needs of the eDNA community are modular informatics tools, comprehensive and customizable reference databases, flexibility across high-throughput sequencing platforms, fast multilocus metabarcode processing, and accurate taxonomic assignment. As bioinformatics tools continue to improve, addressing each of these demands within a single bioinformatics toolkit is becoming a reality. We present the modular metabarcode sequence toolkit Anacapa (https://github.com/limey-bean/Anacapa/), which addresses the above needs, allowing users to build comprehensive reference databases and assign taxonomy to raw multilocus metabarcode sequence data. A novel aspect of Anacapa is our database building module, Creating Reference libraries Using eXisting tools (CRUX), which generates comprehensive reference databases for specific user-defined metabarcode loci. The Quality Control and Dereplication module sorts and processes multiple metabarcode loci and processes merged, unmerged and unpaired reads maximizing recovered diversity. This is followed by amplicon sequence variant (ASV) detection using DADA2. The Anacapa Classifier module then aligns these ASVs to CRUX-generated reference databases using Bowtie2. Taxonomy is assigned to ASVs with confidence scores using a Bayesian Lowest Common Ancestor (BLCA) method. The Anacapa Toolkit also includes an R package, ranacapa, for automated results exploration through standard biodiversity statistical analysis. We performed a series of benchmarking tests to verify that the Anacapa Toolkit generates comprehensive reference databases that capture wide taxonomic diversity and that it can assign high-quality taxonomy to both MiSeq-length and Hi-Seq length sequence data. We demonstrate the value of the Anacapa Toolkit to assigning taxonomy to eDNA sequences from seawater samples from southern California including the capability of this tool kit to process multilocus metabarcoding data. The Anacapa Toolkit broadens the exploration of eDNA and assists in biodiversity assessment and management by generating metabarcode specific databases, processing multilocus data, retaining all read types, and expanding non-traditional eDNA targets. Anacapa Toolkit software and source code are open and available in a virtual container to ease installation.","author":[{"dropping-particle":"","family":"Curd","given":"Emily E.","non-dropping-particle":"","parse-names":false,"suffix":""},{"dropping-particle":"","family":"Gold","given":"Zack","non-dropping-particle":"","parse-names":false,"suffix":""},{"dropping-particle":"","family":"Kandlikar","given":"Gaurav S.","non-dropping-particle":"","parse-names":false,"suffix":""},{"dropping-particle":"","family":"Gomer","given":"Jesse","non-dropping-particle":"","parse-names":false,"suffix":""},{"dropping-particle":"","family":"Ogden","given":"Max","non-dropping-particle":"","parse-names":false,"suffix":""},{"dropping-particle":"","family":"O'Connell","given":"Taylor","non-dropping-particle":"","parse-names":false,"suffix":""},{"dropping-particle":"","family":"Pipes","given":"Lenore","non-dropping-particle":"","parse-names":false,"suffix":""},{"dropping-particle":"","family":"Schweizer","given":"Teia M.","non-dropping-particle":"","parse-names":false,"suffix":""},{"dropping-particle":"","family":"Rabichow","given":"Laura","non-dropping-particle":"","parse-names":false,"suffix":""},{"dropping-particle":"","family":"Lin","given":"Meixi","non-dropping-particle":"","parse-names":false,"suffix":""},{"dropping-particle":"","family":"Shi","given":"Baochen","non-dropping-particle":"","parse-names":false,"suffix":""},{"dropping-particle":"","family":"Barber","given":"Paul H.","non-dropping-particle":"","parse-names":false,"suffix":""},{"dropping-particle":"","family":"Kraft","given":"Nathan","non-dropping-particle":"","parse-names":false,"suffix":""},{"dropping-particle":"","family":"Wayne","given":"Robert","non-dropping-particle":"","parse-names":false,"suffix":""},{"dropping-particle":"","family":"Meyer","given":"Rachel S.","non-dropping-particle":"","parse-names":false,"suffix":""}],"container-title":"Methods in Ecology and Evolution","id":"ITEM-1","issued":{"date-parts":[["2019"]]},"page":"1469– 1475","publisher":"British Ecological Society","title":"Anacapa: an environmental DNA toolkit for processing multilocus metabarcode datasets","type":"article-journal","volume":"10"},"uris":["http://www.mendeley.com/documents/?uuid=ad58049a-bc81-45af-b79e-07ce67c1969f"]}],"mendeley":{"formattedCitation":"(Curd et al., 2019)","plainTextFormattedCitation":"(Curd et al., 2019)","previouslyFormattedCitation":"(Curd et al. 2019)"},"properties":{"noteIndex":0},"schema":"https://github.com/citation-style-language/schema/raw/master/csl-citation.json"}</w:instrText>
      </w:r>
      <w:r w:rsidRPr="00CC646C">
        <w:rPr>
          <w:rFonts w:ascii="Times New Roman" w:hAnsi="Times New Roman"/>
          <w:sz w:val="24"/>
          <w:szCs w:val="24"/>
        </w:rPr>
        <w:fldChar w:fldCharType="separate"/>
      </w:r>
      <w:r w:rsidR="00333B62" w:rsidRPr="00333B62">
        <w:rPr>
          <w:rFonts w:ascii="Times New Roman" w:hAnsi="Times New Roman"/>
          <w:noProof/>
          <w:sz w:val="24"/>
          <w:szCs w:val="24"/>
        </w:rPr>
        <w:t>(Curd et al., 2019)</w:t>
      </w:r>
      <w:r w:rsidRPr="00CC646C">
        <w:rPr>
          <w:rFonts w:ascii="Times New Roman" w:hAnsi="Times New Roman"/>
          <w:sz w:val="24"/>
          <w:szCs w:val="24"/>
        </w:rPr>
        <w:fldChar w:fldCharType="end"/>
      </w:r>
      <w:r w:rsidRPr="00CC646C">
        <w:rPr>
          <w:rFonts w:ascii="Times New Roman" w:hAnsi="Times New Roman"/>
          <w:sz w:val="24"/>
          <w:szCs w:val="24"/>
        </w:rPr>
        <w:t>.</w:t>
      </w:r>
    </w:p>
    <w:p w:rsidR="007773B0" w:rsidRPr="00C450A8" w:rsidRDefault="007773B0" w:rsidP="00333B62">
      <w:pPr>
        <w:pStyle w:val="MDPI35textbeforelist"/>
        <w:spacing w:line="480" w:lineRule="auto"/>
        <w:ind w:firstLine="0"/>
        <w:jc w:val="left"/>
        <w:rPr>
          <w:rFonts w:ascii="Times New Roman" w:hAnsi="Times New Roman"/>
          <w:i/>
          <w:sz w:val="24"/>
          <w:szCs w:val="24"/>
        </w:rPr>
      </w:pPr>
      <w:r w:rsidRPr="00C450A8">
        <w:rPr>
          <w:rFonts w:ascii="Times New Roman" w:hAnsi="Times New Roman"/>
          <w:i/>
          <w:sz w:val="24"/>
          <w:szCs w:val="24"/>
        </w:rPr>
        <w:t>Second Indexing PCR Protocol</w:t>
      </w:r>
    </w:p>
    <w:p w:rsidR="007773B0" w:rsidRDefault="007773B0" w:rsidP="00333B62">
      <w:pPr>
        <w:pStyle w:val="MDPI31text"/>
        <w:spacing w:line="480" w:lineRule="auto"/>
        <w:ind w:firstLine="0"/>
        <w:jc w:val="left"/>
        <w:rPr>
          <w:rFonts w:ascii="Times New Roman" w:hAnsi="Times New Roman"/>
          <w:sz w:val="24"/>
          <w:szCs w:val="24"/>
          <w:lang w:val="en"/>
        </w:rPr>
      </w:pPr>
      <w:r w:rsidRPr="00CC646C">
        <w:rPr>
          <w:rFonts w:ascii="Times New Roman" w:hAnsi="Times New Roman"/>
          <w:sz w:val="24"/>
          <w:szCs w:val="24"/>
          <w:lang w:val="en"/>
        </w:rPr>
        <w:t xml:space="preserve">This second indexing PCR was performed using a 25 μL reaction mixture containing 12.5 μL of Kapa HiFi </w:t>
      </w:r>
      <w:proofErr w:type="spellStart"/>
      <w:r w:rsidRPr="00CC646C">
        <w:rPr>
          <w:rFonts w:ascii="Times New Roman" w:hAnsi="Times New Roman"/>
          <w:sz w:val="24"/>
          <w:szCs w:val="24"/>
          <w:lang w:val="en"/>
        </w:rPr>
        <w:t>Hotstart</w:t>
      </w:r>
      <w:proofErr w:type="spellEnd"/>
      <w:r w:rsidRPr="00CC646C">
        <w:rPr>
          <w:rFonts w:ascii="Times New Roman" w:hAnsi="Times New Roman"/>
          <w:sz w:val="24"/>
          <w:szCs w:val="24"/>
          <w:lang w:val="en"/>
        </w:rPr>
        <w:t xml:space="preserve"> Ready mix, 0.625 μL of primer i7, 0.625 μL of primer i5, and 10ng of template DNA, and used the following thermocycling parameters: denaturation at 95˚C for 5 min, 5 cycles of denaturation at 98˚C for 20 sec, annealing at 56˚C for 30 sec, extension at 72˚C for 3 min, followed by a final extension at 72˚C for 5 min </w:t>
      </w:r>
      <w:r w:rsidRPr="00CC646C">
        <w:rPr>
          <w:rFonts w:ascii="Times New Roman" w:hAnsi="Times New Roman"/>
          <w:sz w:val="24"/>
          <w:szCs w:val="24"/>
        </w:rPr>
        <w:fldChar w:fldCharType="begin" w:fldLock="1"/>
      </w:r>
      <w:r w:rsidR="00333B62">
        <w:rPr>
          <w:rFonts w:ascii="Times New Roman" w:hAnsi="Times New Roman"/>
          <w:sz w:val="24"/>
          <w:szCs w:val="24"/>
        </w:rPr>
        <w:instrText>ADDIN CSL_CITATION {"citationItems":[{"id":"ITEM-1","itemData":{"DOI":"https://doi.org/10.1111/2041-210X.13214","ISSN":"2041210X","abstract":"Environmental DNA (eDNA) metabarcoding is a promising method to monitor species and community diversity that is rapid, affordable, and non-invasive. Longstanding needs of the eDNA community are modular informatics tools, comprehensive and customizable reference databases, flexibility across high-throughput sequencing platforms, fast multilocus metabarcode processing, and accurate taxonomic assignment. As bioinformatics tools continue to improve, addressing each of these demands within a single bioinformatics toolkit is becoming a reality. We present the modular metabarcode sequence toolkit Anacapa (https://github.com/limey-bean/Anacapa/), which addresses the above needs, allowing users to build comprehensive reference databases and assign taxonomy to raw multilocus metabarcode sequence data. A novel aspect of Anacapa is our database building module, Creating Reference libraries Using eXisting tools (CRUX), which generates comprehensive reference databases for specific user-defined metabarcode loci. The Quality Control and Dereplication module sorts and processes multiple metabarcode loci and processes merged, unmerged and unpaired reads maximizing recovered diversity. This is followed by amplicon sequence variant (ASV) detection using DADA2. The Anacapa Classifier module then aligns these ASVs to CRUX-generated reference databases using Bowtie2. Taxonomy is assigned to ASVs with confidence scores using a Bayesian Lowest Common Ancestor (BLCA) method. The Anacapa Toolkit also includes an R package, ranacapa, for automated results exploration through standard biodiversity statistical analysis. We performed a series of benchmarking tests to verify that the Anacapa Toolkit generates comprehensive reference databases that capture wide taxonomic diversity and that it can assign high-quality taxonomy to both MiSeq-length and Hi-Seq length sequence data. We demonstrate the value of the Anacapa Toolkit to assigning taxonomy to eDNA sequences from seawater samples from southern California including the capability of this tool kit to process multilocus metabarcoding data. The Anacapa Toolkit broadens the exploration of eDNA and assists in biodiversity assessment and management by generating metabarcode specific databases, processing multilocus data, retaining all read types, and expanding non-traditional eDNA targets. Anacapa Toolkit software and source code are open and available in a virtual container to ease installation.","author":[{"dropping-particle":"","family":"Curd","given":"Emily E.","non-dropping-particle":"","parse-names":false,"suffix":""},{"dropping-particle":"","family":"Gold","given":"Zack","non-dropping-particle":"","parse-names":false,"suffix":""},{"dropping-particle":"","family":"Kandlikar","given":"Gaurav S.","non-dropping-particle":"","parse-names":false,"suffix":""},{"dropping-particle":"","family":"Gomer","given":"Jesse","non-dropping-particle":"","parse-names":false,"suffix":""},{"dropping-particle":"","family":"Ogden","given":"Max","non-dropping-particle":"","parse-names":false,"suffix":""},{"dropping-particle":"","family":"O'Connell","given":"Taylor","non-dropping-particle":"","parse-names":false,"suffix":""},{"dropping-particle":"","family":"Pipes","given":"Lenore","non-dropping-particle":"","parse-names":false,"suffix":""},{"dropping-particle":"","family":"Schweizer","given":"Teia M.","non-dropping-particle":"","parse-names":false,"suffix":""},{"dropping-particle":"","family":"Rabichow","given":"Laura","non-dropping-particle":"","parse-names":false,"suffix":""},{"dropping-particle":"","family":"Lin","given":"Meixi","non-dropping-particle":"","parse-names":false,"suffix":""},{"dropping-particle":"","family":"Shi","given":"Baochen","non-dropping-particle":"","parse-names":false,"suffix":""},{"dropping-particle":"","family":"Barber","given":"Paul H.","non-dropping-particle":"","parse-names":false,"suffix":""},{"dropping-particle":"","family":"Kraft","given":"Nathan","non-dropping-particle":"","parse-names":false,"suffix":""},{"dropping-particle":"","family":"Wayne","given":"Robert","non-dropping-particle":"","parse-names":false,"suffix":""},{"dropping-particle":"","family":"Meyer","given":"Rachel S.","non-dropping-particle":"","parse-names":false,"suffix":""}],"container-title":"Methods in Ecology and Evolution","id":"ITEM-1","issued":{"date-parts":[["2019"]]},"page":"1469– 1475","publisher":"British Ecological Society","title":"Anacapa: an environmental DNA toolkit for processing multilocus metabarcode datasets","type":"article-journal","volume":"10"},"uris":["http://www.mendeley.com/documents/?uuid=ad58049a-bc81-45af-b79e-07ce67c1969f"]}],"mendeley":{"formattedCitation":"(Curd et al., 2019)","plainTextFormattedCitation":"(Curd et al., 2019)","previouslyFormattedCitation":"(Curd et al. 2019)"},"properties":{"noteIndex":0},"schema":"https://github.com/citation-style-language/schema/raw/master/csl-citation.json"}</w:instrText>
      </w:r>
      <w:r w:rsidRPr="00CC646C">
        <w:rPr>
          <w:rFonts w:ascii="Times New Roman" w:hAnsi="Times New Roman"/>
          <w:sz w:val="24"/>
          <w:szCs w:val="24"/>
        </w:rPr>
        <w:fldChar w:fldCharType="separate"/>
      </w:r>
      <w:r w:rsidR="00333B62" w:rsidRPr="00333B62">
        <w:rPr>
          <w:rFonts w:ascii="Times New Roman" w:hAnsi="Times New Roman"/>
          <w:noProof/>
          <w:sz w:val="24"/>
          <w:szCs w:val="24"/>
        </w:rPr>
        <w:t>(Curd et al., 2019)</w:t>
      </w:r>
      <w:r w:rsidRPr="00CC646C">
        <w:rPr>
          <w:rFonts w:ascii="Times New Roman" w:hAnsi="Times New Roman"/>
          <w:sz w:val="24"/>
          <w:szCs w:val="24"/>
        </w:rPr>
        <w:fldChar w:fldCharType="end"/>
      </w:r>
      <w:r w:rsidRPr="00CC646C">
        <w:rPr>
          <w:rFonts w:ascii="Times New Roman" w:hAnsi="Times New Roman"/>
          <w:sz w:val="24"/>
          <w:szCs w:val="24"/>
          <w:lang w:val="en"/>
        </w:rPr>
        <w:t>.</w:t>
      </w:r>
    </w:p>
    <w:p w:rsidR="00333B62" w:rsidRDefault="00333B62" w:rsidP="00333B62">
      <w:pPr>
        <w:pStyle w:val="MDPI31text"/>
        <w:spacing w:line="480" w:lineRule="auto"/>
        <w:ind w:firstLine="0"/>
        <w:jc w:val="left"/>
        <w:rPr>
          <w:rFonts w:ascii="Times New Roman" w:hAnsi="Times New Roman"/>
          <w:sz w:val="24"/>
          <w:szCs w:val="24"/>
          <w:lang w:val="en"/>
        </w:rPr>
      </w:pPr>
    </w:p>
    <w:p w:rsidR="00333B62" w:rsidRPr="00C450A8" w:rsidRDefault="00333B62" w:rsidP="00333B62">
      <w:pPr>
        <w:pStyle w:val="MDPI31text"/>
        <w:spacing w:before="120" w:line="480" w:lineRule="auto"/>
        <w:ind w:firstLine="0"/>
        <w:jc w:val="left"/>
        <w:rPr>
          <w:rFonts w:ascii="Times New Roman" w:hAnsi="Times New Roman"/>
          <w:i/>
          <w:iCs/>
          <w:spacing w:val="-2"/>
          <w:sz w:val="24"/>
          <w:szCs w:val="24"/>
        </w:rPr>
      </w:pPr>
      <w:r w:rsidRPr="00C450A8">
        <w:rPr>
          <w:rFonts w:ascii="Times New Roman" w:hAnsi="Times New Roman"/>
          <w:i/>
          <w:iCs/>
          <w:spacing w:val="-2"/>
          <w:sz w:val="24"/>
          <w:szCs w:val="24"/>
        </w:rPr>
        <w:t>Bioinformatics</w:t>
      </w:r>
    </w:p>
    <w:p w:rsidR="00333B62" w:rsidRDefault="00333B62" w:rsidP="00333B62">
      <w:pPr>
        <w:pStyle w:val="MDPI31text"/>
        <w:spacing w:line="480" w:lineRule="auto"/>
        <w:ind w:firstLine="0"/>
        <w:jc w:val="left"/>
        <w:rPr>
          <w:rFonts w:ascii="Times New Roman" w:hAnsi="Times New Roman"/>
          <w:spacing w:val="-2"/>
          <w:sz w:val="24"/>
          <w:szCs w:val="24"/>
        </w:rPr>
      </w:pPr>
      <w:r w:rsidRPr="00C450A8">
        <w:rPr>
          <w:rFonts w:ascii="Times New Roman" w:hAnsi="Times New Roman"/>
          <w:spacing w:val="-2"/>
          <w:sz w:val="24"/>
          <w:szCs w:val="24"/>
        </w:rPr>
        <w:t xml:space="preserve">To determine community composition, we used the </w:t>
      </w:r>
      <w:r w:rsidRPr="00C450A8">
        <w:rPr>
          <w:rFonts w:ascii="Times New Roman" w:hAnsi="Times New Roman"/>
          <w:i/>
          <w:spacing w:val="-2"/>
          <w:sz w:val="24"/>
          <w:szCs w:val="24"/>
        </w:rPr>
        <w:t>Anacapa Toolkit</w:t>
      </w:r>
      <w:r>
        <w:rPr>
          <w:rFonts w:ascii="Times New Roman" w:hAnsi="Times New Roman"/>
          <w:spacing w:val="-2"/>
          <w:sz w:val="24"/>
          <w:szCs w:val="24"/>
        </w:rPr>
        <w:t xml:space="preserve"> to</w:t>
      </w:r>
      <w:r w:rsidRPr="00C450A8">
        <w:rPr>
          <w:rFonts w:ascii="Times New Roman" w:hAnsi="Times New Roman"/>
          <w:spacing w:val="-2"/>
          <w:sz w:val="24"/>
          <w:szCs w:val="24"/>
        </w:rPr>
        <w:t xml:space="preserve"> conduct quality control, amplicon sequence variant (ASV) parsing, and taxonomic assignment using user-generated custom reference databases </w:t>
      </w:r>
      <w:r w:rsidRPr="00C450A8">
        <w:rPr>
          <w:rFonts w:ascii="Times New Roman" w:hAnsi="Times New Roman"/>
          <w:spacing w:val="-2"/>
          <w:sz w:val="24"/>
          <w:szCs w:val="24"/>
        </w:rPr>
        <w:fldChar w:fldCharType="begin" w:fldLock="1"/>
      </w:r>
      <w:r>
        <w:rPr>
          <w:rFonts w:ascii="Times New Roman" w:hAnsi="Times New Roman"/>
          <w:spacing w:val="-2"/>
          <w:sz w:val="24"/>
          <w:szCs w:val="24"/>
        </w:rPr>
        <w:instrText>ADDIN CSL_CITATION {"citationItems":[{"id":"ITEM-1","itemData":{"DOI":"https://doi.org/10.1111/2041-210X.13214","ISSN":"2041210X","abstract":"Environmental DNA (eDNA) metabarcoding is a promising method to monitor species and community diversity that is rapid, affordable, and non-invasive. Longstanding needs of the eDNA community are modular informatics tools, comprehensive and customizable reference databases, flexibility across high-throughput sequencing platforms, fast multilocus metabarcode processing, and accurate taxonomic assignment. As bioinformatics tools continue to improve, addressing each of these demands within a single bioinformatics toolkit is becoming a reality. We present the modular metabarcode sequence toolkit Anacapa (https://github.com/limey-bean/Anacapa/), which addresses the above needs, allowing users to build comprehensive reference databases and assign taxonomy to raw multilocus metabarcode sequence data. A novel aspect of Anacapa is our database building module, Creating Reference libraries Using eXisting tools (CRUX), which generates comprehensive reference databases for specific user-defined metabarcode loci. The Quality Control and Dereplication module sorts and processes multiple metabarcode loci and processes merged, unmerged and unpaired reads maximizing recovered diversity. This is followed by amplicon sequence variant (ASV) detection using DADA2. The Anacapa Classifier module then aligns these ASVs to CRUX-generated reference databases using Bowtie2. Taxonomy is assigned to ASVs with confidence scores using a Bayesian Lowest Common Ancestor (BLCA) method. The Anacapa Toolkit also includes an R package, ranacapa, for automated results exploration through standard biodiversity statistical analysis. We performed a series of benchmarking tests to verify that the Anacapa Toolkit generates comprehensive reference databases that capture wide taxonomic diversity and that it can assign high-quality taxonomy to both MiSeq-length and Hi-Seq length sequence data. We demonstrate the value of the Anacapa Toolkit to assigning taxonomy to eDNA sequences from seawater samples from southern California including the capability of this tool kit to process multilocus metabarcoding data. The Anacapa Toolkit broadens the exploration of eDNA and assists in biodiversity assessment and management by generating metabarcode specific databases, processing multilocus data, retaining all read types, and expanding non-traditional eDNA targets. Anacapa Toolkit software and source code are open and available in a virtual container to ease installation.","author":[{"dropping-particle":"","family":"Curd","given":"Emily E.","non-dropping-particle":"","parse-names":false,"suffix":""},{"dropping-particle":"","family":"Gold","given":"Zack","non-dropping-particle":"","parse-names":false,"suffix":""},{"dropping-particle":"","family":"Kandlikar","given":"Gaurav S.","non-dropping-particle":"","parse-names":false,"suffix":""},{"dropping-particle":"","family":"Gomer","given":"Jesse","non-dropping-particle":"","parse-names":false,"suffix":""},{"dropping-particle":"","family":"Ogden","given":"Max","non-dropping-particle":"","parse-names":false,"suffix":""},{"dropping-particle":"","family":"O'Connell","given":"Taylor","non-dropping-particle":"","parse-names":false,"suffix":""},{"dropping-particle":"","family":"Pipes","given":"Lenore","non-dropping-particle":"","parse-names":false,"suffix":""},{"dropping-particle":"","family":"Schweizer","given":"Teia M.","non-dropping-particle":"","parse-names":false,"suffix":""},{"dropping-particle":"","family":"Rabichow","given":"Laura","non-dropping-particle":"","parse-names":false,"suffix":""},{"dropping-particle":"","family":"Lin","given":"Meixi","non-dropping-particle":"","parse-names":false,"suffix":""},{"dropping-particle":"","family":"Shi","given":"Baochen","non-dropping-particle":"","parse-names":false,"suffix":""},{"dropping-particle":"","family":"Barber","given":"Paul H.","non-dropping-particle":"","parse-names":false,"suffix":""},{"dropping-particle":"","family":"Kraft","given":"Nathan","non-dropping-particle":"","parse-names":false,"suffix":""},{"dropping-particle":"","family":"Wayne","given":"Robert","non-dropping-particle":"","parse-names":false,"suffix":""},{"dropping-particle":"","family":"Meyer","given":"Rachel S.","non-dropping-particle":"","parse-names":false,"suffix":""}],"container-title":"Methods in Ecology and Evolution","id":"ITEM-1","issued":{"date-parts":[["2019"]]},"page":"1469– 1475","publisher":"British Ecological Society","title":"Anacapa: an environmental DNA toolkit for processing multilocus metabarcode datasets","type":"article-journal","volume":"10"},"uris":["http://www.mendeley.com/documents/?uuid=ad58049a-bc81-45af-b79e-07ce67c1969f"]}],"mendeley":{"formattedCitation":"(Curd et al., 2019)","plainTextFormattedCitation":"(Curd et al., 2019)","previouslyFormattedCitation":"(Curd et al., 2019)"},"properties":{"noteIndex":0},"schema":"https://github.com/citation-style-language/schema/raw/master/csl-citation.json"}</w:instrText>
      </w:r>
      <w:r w:rsidRPr="00C450A8">
        <w:rPr>
          <w:rFonts w:ascii="Times New Roman" w:hAnsi="Times New Roman"/>
          <w:spacing w:val="-2"/>
          <w:sz w:val="24"/>
          <w:szCs w:val="24"/>
        </w:rPr>
        <w:fldChar w:fldCharType="separate"/>
      </w:r>
      <w:r w:rsidRPr="005603E0">
        <w:rPr>
          <w:rFonts w:ascii="Times New Roman" w:hAnsi="Times New Roman"/>
          <w:noProof/>
          <w:spacing w:val="-2"/>
          <w:sz w:val="24"/>
          <w:szCs w:val="24"/>
        </w:rPr>
        <w:t>(Curd et al., 2019)</w:t>
      </w:r>
      <w:r w:rsidRPr="00C450A8">
        <w:rPr>
          <w:rFonts w:ascii="Times New Roman" w:hAnsi="Times New Roman"/>
          <w:spacing w:val="-2"/>
          <w:sz w:val="24"/>
          <w:szCs w:val="24"/>
        </w:rPr>
        <w:fldChar w:fldCharType="end"/>
      </w:r>
      <w:r w:rsidRPr="00C450A8">
        <w:rPr>
          <w:rFonts w:ascii="Times New Roman" w:hAnsi="Times New Roman"/>
          <w:spacing w:val="-2"/>
          <w:sz w:val="24"/>
          <w:szCs w:val="24"/>
        </w:rPr>
        <w:t xml:space="preserve">. </w:t>
      </w:r>
      <w:r>
        <w:rPr>
          <w:rFonts w:ascii="Times New Roman" w:hAnsi="Times New Roman"/>
          <w:spacing w:val="-2"/>
          <w:sz w:val="24"/>
          <w:szCs w:val="24"/>
        </w:rPr>
        <w:t>We</w:t>
      </w:r>
      <w:r w:rsidRPr="00C450A8">
        <w:rPr>
          <w:rFonts w:ascii="Times New Roman" w:hAnsi="Times New Roman"/>
          <w:spacing w:val="-2"/>
          <w:sz w:val="24"/>
          <w:szCs w:val="24"/>
        </w:rPr>
        <w:t xml:space="preserve"> processed sequences using the default parameters and </w:t>
      </w:r>
      <w:r w:rsidRPr="00C450A8">
        <w:rPr>
          <w:rFonts w:ascii="Times New Roman" w:hAnsi="Times New Roman"/>
          <w:spacing w:val="-2"/>
          <w:sz w:val="24"/>
          <w:szCs w:val="24"/>
        </w:rPr>
        <w:lastRenderedPageBreak/>
        <w:t xml:space="preserve">assigned taxonomy using two reference databases. We first assigned taxonomy using the FishCARD California fish specific reference database </w:t>
      </w:r>
      <w:r>
        <w:rPr>
          <w:rFonts w:ascii="Times New Roman" w:hAnsi="Times New Roman"/>
          <w:spacing w:val="-2"/>
          <w:sz w:val="24"/>
          <w:szCs w:val="24"/>
        </w:rPr>
        <w:fldChar w:fldCharType="begin" w:fldLock="1"/>
      </w:r>
      <w:r>
        <w:rPr>
          <w:rFonts w:ascii="Times New Roman" w:hAnsi="Times New Roman"/>
          <w:spacing w:val="-2"/>
          <w:sz w:val="24"/>
          <w:szCs w:val="24"/>
        </w:rPr>
        <w:instrText>ADDIN CSL_CITATION {"citationItems":[{"id":"ITEM-1","itemData":{"author":[{"dropping-particle":"","family":"Gold","given":"Zachary Jacob","non-dropping-particle":"","parse-names":false,"suffix":""}],"id":"ITEM-1","issued":{"date-parts":[["2020"]]},"publisher":"UCLA","title":"Design and Implementation of Environmental DNA Metabarcoding Methods for Monitoring the Southern California Marine Protected Area Network","type":"article"},"uris":["http://www.mendeley.com/documents/?uuid=f3b92820-316c-4066-93e9-1eede1d76cd5"]}],"mendeley":{"formattedCitation":"(Gold, 2020)","manualFormatting":"(Gold 2020; https://github.com/zjgold/FishCARD)","plainTextFormattedCitation":"(Gold, 2020)","previouslyFormattedCitation":"(Gold, 2020)"},"properties":{"noteIndex":0},"schema":"https://github.com/citation-style-language/schema/raw/master/csl-citation.json"}</w:instrText>
      </w:r>
      <w:r>
        <w:rPr>
          <w:rFonts w:ascii="Times New Roman" w:hAnsi="Times New Roman"/>
          <w:spacing w:val="-2"/>
          <w:sz w:val="24"/>
          <w:szCs w:val="24"/>
        </w:rPr>
        <w:fldChar w:fldCharType="separate"/>
      </w:r>
      <w:r w:rsidRPr="00122CD1">
        <w:rPr>
          <w:rFonts w:ascii="Times New Roman" w:hAnsi="Times New Roman"/>
          <w:noProof/>
          <w:spacing w:val="-2"/>
          <w:sz w:val="24"/>
          <w:szCs w:val="24"/>
        </w:rPr>
        <w:t>(Gold 2020</w:t>
      </w:r>
      <w:r>
        <w:rPr>
          <w:rFonts w:ascii="Times New Roman" w:hAnsi="Times New Roman"/>
          <w:noProof/>
          <w:spacing w:val="-2"/>
          <w:sz w:val="24"/>
          <w:szCs w:val="24"/>
        </w:rPr>
        <w:t xml:space="preserve">; </w:t>
      </w:r>
      <w:r w:rsidRPr="00122CD1">
        <w:rPr>
          <w:rFonts w:ascii="Times New Roman" w:hAnsi="Times New Roman"/>
          <w:noProof/>
          <w:spacing w:val="-2"/>
          <w:sz w:val="24"/>
          <w:szCs w:val="24"/>
        </w:rPr>
        <w:t>https://github.com/zjgold/FishCARD)</w:t>
      </w:r>
      <w:r>
        <w:rPr>
          <w:rFonts w:ascii="Times New Roman" w:hAnsi="Times New Roman"/>
          <w:spacing w:val="-2"/>
          <w:sz w:val="24"/>
          <w:szCs w:val="24"/>
        </w:rPr>
        <w:fldChar w:fldCharType="end"/>
      </w:r>
      <w:r w:rsidRPr="00C450A8">
        <w:rPr>
          <w:rFonts w:ascii="Times New Roman" w:hAnsi="Times New Roman"/>
          <w:spacing w:val="-2"/>
          <w:sz w:val="24"/>
          <w:szCs w:val="24"/>
        </w:rPr>
        <w:t xml:space="preserve">. Second, we used the </w:t>
      </w:r>
      <w:r w:rsidRPr="00C450A8">
        <w:rPr>
          <w:rFonts w:ascii="Times New Roman" w:hAnsi="Times New Roman"/>
          <w:i/>
          <w:spacing w:val="-2"/>
          <w:sz w:val="24"/>
          <w:szCs w:val="24"/>
        </w:rPr>
        <w:t>CRUX</w:t>
      </w:r>
      <w:r w:rsidRPr="00C450A8">
        <w:rPr>
          <w:rFonts w:ascii="Times New Roman" w:hAnsi="Times New Roman"/>
          <w:spacing w:val="-2"/>
          <w:sz w:val="24"/>
          <w:szCs w:val="24"/>
        </w:rPr>
        <w:t xml:space="preserve">-generated </w:t>
      </w:r>
      <w:r w:rsidRPr="00C450A8">
        <w:rPr>
          <w:rFonts w:ascii="Times New Roman" w:hAnsi="Times New Roman"/>
          <w:i/>
          <w:spacing w:val="-2"/>
          <w:sz w:val="24"/>
          <w:szCs w:val="24"/>
        </w:rPr>
        <w:t>12S</w:t>
      </w:r>
      <w:r w:rsidRPr="00C450A8">
        <w:rPr>
          <w:rFonts w:ascii="Times New Roman" w:hAnsi="Times New Roman"/>
          <w:spacing w:val="-2"/>
          <w:sz w:val="24"/>
          <w:szCs w:val="24"/>
        </w:rPr>
        <w:t xml:space="preserve"> reference database supplemented with FishCARD reference sequences to assign taxonomy using all available </w:t>
      </w:r>
      <w:r w:rsidRPr="00C450A8">
        <w:rPr>
          <w:rFonts w:ascii="Times New Roman" w:hAnsi="Times New Roman"/>
          <w:i/>
          <w:iCs/>
          <w:spacing w:val="-2"/>
          <w:sz w:val="24"/>
          <w:szCs w:val="24"/>
        </w:rPr>
        <w:t xml:space="preserve">12S </w:t>
      </w:r>
      <w:r w:rsidRPr="00C450A8">
        <w:rPr>
          <w:rFonts w:ascii="Times New Roman" w:hAnsi="Times New Roman"/>
          <w:spacing w:val="-2"/>
          <w:sz w:val="24"/>
          <w:szCs w:val="24"/>
        </w:rPr>
        <w:t xml:space="preserve">reference barcodes to identify any non-fish taxa. We transferred the resulting species community tables into </w:t>
      </w:r>
      <w:r w:rsidRPr="00C450A8">
        <w:rPr>
          <w:rFonts w:ascii="Times New Roman" w:hAnsi="Times New Roman"/>
          <w:i/>
          <w:spacing w:val="-2"/>
          <w:sz w:val="24"/>
          <w:szCs w:val="24"/>
        </w:rPr>
        <w:t>R</w:t>
      </w:r>
      <w:r w:rsidRPr="00C450A8">
        <w:rPr>
          <w:rFonts w:ascii="Times New Roman" w:hAnsi="Times New Roman"/>
          <w:spacing w:val="-2"/>
          <w:sz w:val="24"/>
          <w:szCs w:val="24"/>
        </w:rPr>
        <w:t xml:space="preserve"> for subsequent downstream data analysis </w:t>
      </w:r>
      <w:r w:rsidRPr="00C450A8">
        <w:rPr>
          <w:rFonts w:ascii="Times New Roman" w:hAnsi="Times New Roman"/>
          <w:spacing w:val="-2"/>
          <w:sz w:val="24"/>
          <w:szCs w:val="24"/>
        </w:rPr>
        <w:fldChar w:fldCharType="begin" w:fldLock="1"/>
      </w:r>
      <w:r>
        <w:rPr>
          <w:rFonts w:ascii="Times New Roman" w:hAnsi="Times New Roman"/>
          <w:spacing w:val="-2"/>
          <w:sz w:val="24"/>
          <w:szCs w:val="24"/>
        </w:rPr>
        <w:instrText>ADDIN CSL_CITATION {"citationItems":[{"id":"ITEM-1","itemData":{"author":[{"dropping-particle":"","family":"Team","given":"R Core","non-dropping-particle":"","parse-names":false,"suffix":""}],"id":"ITEM-1","issued":{"date-parts":[["2014"]]},"title":"R: A language and environment for statistical computing. Vienna, Austria: R Foundation for Statistical Computing; 2014","type":"article"},"uris":["http://www.mendeley.com/documents/?uuid=36dd6a81-92aa-4e8a-a07a-2aa79e5967ac"]}],"mendeley":{"formattedCitation":"(Team, 2014)","plainTextFormattedCitation":"(Team, 2014)","previouslyFormattedCitation":"(Team, 2014)"},"properties":{"noteIndex":0},"schema":"https://github.com/citation-style-language/schema/raw/master/csl-citation.json"}</w:instrText>
      </w:r>
      <w:r w:rsidRPr="00C450A8">
        <w:rPr>
          <w:rFonts w:ascii="Times New Roman" w:hAnsi="Times New Roman"/>
          <w:spacing w:val="-2"/>
          <w:sz w:val="24"/>
          <w:szCs w:val="24"/>
        </w:rPr>
        <w:fldChar w:fldCharType="separate"/>
      </w:r>
      <w:r w:rsidRPr="005603E0">
        <w:rPr>
          <w:rFonts w:ascii="Times New Roman" w:hAnsi="Times New Roman"/>
          <w:noProof/>
          <w:spacing w:val="-2"/>
          <w:sz w:val="24"/>
          <w:szCs w:val="24"/>
        </w:rPr>
        <w:t>(Team, 2014)</w:t>
      </w:r>
      <w:r w:rsidRPr="00C450A8">
        <w:rPr>
          <w:rFonts w:ascii="Times New Roman" w:hAnsi="Times New Roman"/>
          <w:spacing w:val="-2"/>
          <w:sz w:val="24"/>
          <w:szCs w:val="24"/>
        </w:rPr>
        <w:fldChar w:fldCharType="end"/>
      </w:r>
      <w:r w:rsidRPr="00C450A8">
        <w:rPr>
          <w:rFonts w:ascii="Times New Roman" w:hAnsi="Times New Roman"/>
          <w:spacing w:val="-2"/>
          <w:sz w:val="24"/>
          <w:szCs w:val="24"/>
        </w:rPr>
        <w:t xml:space="preserve">. </w:t>
      </w:r>
    </w:p>
    <w:p w:rsidR="00333B62" w:rsidRPr="00333B62" w:rsidRDefault="00333B62" w:rsidP="00333B62">
      <w:pPr>
        <w:pStyle w:val="MDPI31text"/>
        <w:spacing w:line="480" w:lineRule="auto"/>
        <w:ind w:firstLine="0"/>
        <w:jc w:val="left"/>
        <w:rPr>
          <w:rFonts w:ascii="Times New Roman" w:hAnsi="Times New Roman"/>
          <w:spacing w:val="-2"/>
          <w:sz w:val="24"/>
          <w:szCs w:val="24"/>
        </w:rPr>
      </w:pPr>
    </w:p>
    <w:p w:rsidR="007773B0" w:rsidRPr="00C450A8" w:rsidRDefault="007773B0" w:rsidP="00333B62">
      <w:pPr>
        <w:pStyle w:val="MDPI35textbeforelist"/>
        <w:spacing w:line="480" w:lineRule="auto"/>
        <w:ind w:firstLine="0"/>
        <w:jc w:val="left"/>
        <w:rPr>
          <w:rFonts w:ascii="Times New Roman" w:hAnsi="Times New Roman"/>
          <w:i/>
          <w:sz w:val="24"/>
          <w:szCs w:val="24"/>
        </w:rPr>
      </w:pPr>
      <w:r w:rsidRPr="00C450A8">
        <w:rPr>
          <w:rFonts w:ascii="Times New Roman" w:hAnsi="Times New Roman"/>
          <w:i/>
          <w:sz w:val="24"/>
          <w:szCs w:val="24"/>
        </w:rPr>
        <w:t>Decontamination</w:t>
      </w:r>
    </w:p>
    <w:p w:rsidR="007773B0" w:rsidRPr="00CC646C" w:rsidRDefault="007773B0" w:rsidP="00333B62">
      <w:pPr>
        <w:pStyle w:val="MDPI23heading3"/>
        <w:spacing w:line="480" w:lineRule="auto"/>
        <w:rPr>
          <w:rFonts w:ascii="Times New Roman" w:hAnsi="Times New Roman"/>
          <w:sz w:val="24"/>
          <w:szCs w:val="24"/>
          <w:u w:val="single"/>
        </w:rPr>
      </w:pPr>
      <w:r w:rsidRPr="00CC646C">
        <w:rPr>
          <w:rFonts w:ascii="Times New Roman" w:hAnsi="Times New Roman"/>
          <w:sz w:val="24"/>
          <w:szCs w:val="24"/>
          <w:u w:val="single"/>
        </w:rPr>
        <w:t>Estimation of Index Hopping</w:t>
      </w:r>
    </w:p>
    <w:p w:rsidR="007773B0" w:rsidRPr="00CC646C" w:rsidRDefault="007773B0" w:rsidP="00333B62">
      <w:pPr>
        <w:pStyle w:val="MDPI31text"/>
        <w:spacing w:line="480" w:lineRule="auto"/>
        <w:ind w:firstLine="0"/>
        <w:jc w:val="left"/>
        <w:rPr>
          <w:rFonts w:ascii="Times New Roman" w:hAnsi="Times New Roman"/>
          <w:sz w:val="24"/>
          <w:szCs w:val="24"/>
        </w:rPr>
      </w:pPr>
      <w:r w:rsidRPr="00CC646C">
        <w:rPr>
          <w:rFonts w:ascii="Times New Roman" w:hAnsi="Times New Roman"/>
          <w:sz w:val="24"/>
          <w:szCs w:val="24"/>
        </w:rPr>
        <w:t xml:space="preserve">All samples were pooled into a final library and sequenced on a single MiSeq run. Each sample is identified by two sets of molecular barcodes in a unique combination. However, recent evidence has found that there is the potential for indexes to hop from one molecular to another, leading to the incorrect sample assignment during demultiplexing </w:t>
      </w:r>
      <w:r w:rsidRPr="00CC646C">
        <w:rPr>
          <w:rFonts w:ascii="Times New Roman" w:hAnsi="Times New Roman"/>
          <w:sz w:val="24"/>
          <w:szCs w:val="24"/>
        </w:rPr>
        <w:fldChar w:fldCharType="begin" w:fldLock="1"/>
      </w:r>
      <w:r w:rsidR="00333B62">
        <w:rPr>
          <w:rFonts w:ascii="Times New Roman" w:hAnsi="Times New Roman"/>
          <w:sz w:val="24"/>
          <w:szCs w:val="24"/>
        </w:rPr>
        <w:instrText>ADDIN CSL_CITATION {"citationItems":[{"id":"ITEM-1","itemData":{"ISSN":"1471-2164","author":[{"dropping-particle":"","family":"Costello","given":"Maura","non-dropping-particle":"","parse-names":false,"suffix":""},{"dropping-particle":"","family":"Fleharty","given":"Mark","non-dropping-particle":"","parse-names":false,"suffix":""},{"dropping-particle":"","family":"Abreu","given":"Justin","non-dropping-particle":"","parse-names":false,"suffix":""},{"dropping-particle":"","family":"Farjoun","given":"Yossi","non-dropping-particle":"","parse-names":false,"suffix":""},{"dropping-particle":"","family":"Ferriera","given":"Steven","non-dropping-particle":"","parse-names":false,"suffix":""},{"dropping-particle":"","family":"Holmes","given":"Laurie","non-dropping-particle":"","parse-names":false,"suffix":""},{"dropping-particle":"","family":"Granger","given":"Brian","non-dropping-particle":"","parse-names":false,"suffix":""},{"dropping-particle":"","family":"Green","given":"Lisa","non-dropping-particle":"","parse-names":false,"suffix":""},{"dropping-particle":"","family":"Howd","given":"Tom","non-dropping-particle":"","parse-names":false,"suffix":""},{"dropping-particle":"","family":"Mason","given":"Tamara","non-dropping-particle":"","parse-names":false,"suffix":""}],"container-title":"BMC genomics","id":"ITEM-1","issue":"1","issued":{"date-parts":[["2018"]]},"page":"332","publisher":"BioMed Central","title":"Characterization and remediation of sample index swaps by non-redundant dual indexing on massively parallel sequencing platforms","type":"article-journal","volume":"19"},"uris":["http://www.mendeley.com/documents/?uuid=8ea22c07-b4d0-4041-844c-0fce70840220"]}],"mendeley":{"formattedCitation":"(Costello et al., 2018)","plainTextFormattedCitation":"(Costello et al., 2018)","previouslyFormattedCitation":"(Costello et al. 2018)"},"properties":{"noteIndex":0},"schema":"https://github.com/citation-style-language/schema/raw/master/csl-citation.json"}</w:instrText>
      </w:r>
      <w:r w:rsidRPr="00CC646C">
        <w:rPr>
          <w:rFonts w:ascii="Times New Roman" w:hAnsi="Times New Roman"/>
          <w:sz w:val="24"/>
          <w:szCs w:val="24"/>
        </w:rPr>
        <w:fldChar w:fldCharType="separate"/>
      </w:r>
      <w:r w:rsidR="00333B62" w:rsidRPr="00333B62">
        <w:rPr>
          <w:rFonts w:ascii="Times New Roman" w:hAnsi="Times New Roman"/>
          <w:noProof/>
          <w:sz w:val="24"/>
          <w:szCs w:val="24"/>
        </w:rPr>
        <w:t>(Costello et al., 2018)</w:t>
      </w:r>
      <w:r w:rsidRPr="00CC646C">
        <w:rPr>
          <w:rFonts w:ascii="Times New Roman" w:hAnsi="Times New Roman"/>
          <w:sz w:val="24"/>
          <w:szCs w:val="24"/>
        </w:rPr>
        <w:fldChar w:fldCharType="end"/>
      </w:r>
      <w:r w:rsidRPr="00CC646C">
        <w:rPr>
          <w:rFonts w:ascii="Times New Roman" w:hAnsi="Times New Roman"/>
          <w:sz w:val="24"/>
          <w:szCs w:val="24"/>
        </w:rPr>
        <w:t xml:space="preserve">. To estimate the frequency of index hopping we included a positive control of a non-native fish taxa which we know will not be found in our eDNA samples </w:t>
      </w:r>
      <w:r w:rsidRPr="00CC646C">
        <w:rPr>
          <w:rFonts w:ascii="Times New Roman" w:hAnsi="Times New Roman"/>
          <w:sz w:val="24"/>
          <w:szCs w:val="24"/>
        </w:rPr>
        <w:fldChar w:fldCharType="begin" w:fldLock="1"/>
      </w:r>
      <w:r w:rsidR="00333B62">
        <w:rPr>
          <w:rFonts w:ascii="Times New Roman" w:hAnsi="Times New Roman"/>
          <w:sz w:val="24"/>
          <w:szCs w:val="24"/>
        </w:rPr>
        <w:instrText>ADDIN CSL_CITATION {"citationItems":[{"id":"ITEM-1","itemData":{"ISSN":"2167-8359","author":[{"dropping-particle":"","family":"Kelly","given":"Ryan P","non-dropping-particle":"","parse-names":false,"suffix":""},{"dropping-particle":"","family":"Gallego","given":"Ramón","non-dropping-particle":"","parse-names":false,"suffix":""},{"dropping-particle":"","family":"Jacobs-Palmer","given":"Emily","non-dropping-particle":"","parse-names":false,"suffix":""}],"container-title":"PeerJ","id":"ITEM-1","issued":{"date-parts":[["2018"]]},"page":"e4521","publisher":"PeerJ Inc.","title":"The effect of tides on nearshore environmental DNA","type":"article-journal","volume":"6"},"uris":["http://www.mendeley.com/documents/?uuid=eebe8284-ca4f-4284-831b-167deca00235"]}],"mendeley":{"formattedCitation":"(Kelly, Gallego, &amp; Jacobs-Palmer, 2018)","plainTextFormattedCitation":"(Kelly, Gallego, &amp; Jacobs-Palmer, 2018)","previouslyFormattedCitation":"(Kelly et al. 2018)"},"properties":{"noteIndex":0},"schema":"https://github.com/citation-style-language/schema/raw/master/csl-citation.json"}</w:instrText>
      </w:r>
      <w:r w:rsidRPr="00CC646C">
        <w:rPr>
          <w:rFonts w:ascii="Times New Roman" w:hAnsi="Times New Roman"/>
          <w:sz w:val="24"/>
          <w:szCs w:val="24"/>
        </w:rPr>
        <w:fldChar w:fldCharType="separate"/>
      </w:r>
      <w:r w:rsidR="00333B62" w:rsidRPr="00333B62">
        <w:rPr>
          <w:rFonts w:ascii="Times New Roman" w:hAnsi="Times New Roman"/>
          <w:noProof/>
          <w:sz w:val="24"/>
          <w:szCs w:val="24"/>
        </w:rPr>
        <w:t>(Kelly, Gallego, &amp; Jacobs-Palmer, 2018)</w:t>
      </w:r>
      <w:r w:rsidRPr="00CC646C">
        <w:rPr>
          <w:rFonts w:ascii="Times New Roman" w:hAnsi="Times New Roman"/>
          <w:sz w:val="24"/>
          <w:szCs w:val="24"/>
        </w:rPr>
        <w:fldChar w:fldCharType="end"/>
      </w:r>
      <w:r w:rsidRPr="00CC646C">
        <w:rPr>
          <w:rFonts w:ascii="Times New Roman" w:hAnsi="Times New Roman"/>
          <w:sz w:val="24"/>
          <w:szCs w:val="24"/>
        </w:rPr>
        <w:t>. Index hopping will lead to environmental sequences occurring in the positive control and vice versa. To estimate the frequency of index hopping we modeled the composition of environmental sequences observed on the positive controls and subtract these sequences from the environmental samples run. For example, if 12 reads of Garibaldi (</w:t>
      </w:r>
      <w:r w:rsidRPr="00CC646C">
        <w:rPr>
          <w:rFonts w:ascii="Times New Roman" w:hAnsi="Times New Roman"/>
          <w:i/>
          <w:sz w:val="24"/>
          <w:szCs w:val="24"/>
        </w:rPr>
        <w:t>Hypsypops rubicundus</w:t>
      </w:r>
      <w:r w:rsidRPr="00CC646C">
        <w:rPr>
          <w:rFonts w:ascii="Times New Roman" w:hAnsi="Times New Roman"/>
          <w:sz w:val="24"/>
          <w:szCs w:val="24"/>
        </w:rPr>
        <w:t xml:space="preserve">) are found in the positive control, we subtract 12 reads from the read counts of Garibaldi found in all environmental samples. </w:t>
      </w:r>
    </w:p>
    <w:p w:rsidR="007773B0" w:rsidRPr="00CC646C" w:rsidRDefault="007773B0" w:rsidP="00333B62">
      <w:pPr>
        <w:pStyle w:val="MDPI23heading3"/>
        <w:spacing w:line="480" w:lineRule="auto"/>
        <w:rPr>
          <w:rFonts w:ascii="Times New Roman" w:hAnsi="Times New Roman"/>
          <w:sz w:val="24"/>
          <w:szCs w:val="24"/>
          <w:u w:val="single"/>
        </w:rPr>
      </w:pPr>
      <w:r w:rsidRPr="00CC646C">
        <w:rPr>
          <w:rFonts w:ascii="Times New Roman" w:hAnsi="Times New Roman"/>
          <w:sz w:val="24"/>
          <w:szCs w:val="24"/>
          <w:u w:val="single"/>
        </w:rPr>
        <w:t>Remove Contamination from Negative Controls</w:t>
      </w:r>
    </w:p>
    <w:p w:rsidR="007773B0" w:rsidRPr="00CC646C" w:rsidRDefault="007773B0" w:rsidP="00333B62">
      <w:pPr>
        <w:pStyle w:val="MDPI31text"/>
        <w:spacing w:line="480" w:lineRule="auto"/>
        <w:ind w:firstLine="0"/>
        <w:jc w:val="left"/>
        <w:rPr>
          <w:rFonts w:ascii="Times New Roman" w:hAnsi="Times New Roman"/>
          <w:sz w:val="24"/>
          <w:szCs w:val="24"/>
        </w:rPr>
      </w:pPr>
      <w:r w:rsidRPr="00CC646C">
        <w:rPr>
          <w:rFonts w:ascii="Times New Roman" w:hAnsi="Times New Roman"/>
          <w:sz w:val="24"/>
          <w:szCs w:val="24"/>
        </w:rPr>
        <w:lastRenderedPageBreak/>
        <w:t xml:space="preserve">Here we remove ASVs that occur in positive and negative controls with higher proportions than environmental samples using </w:t>
      </w:r>
      <w:r w:rsidRPr="00CC646C">
        <w:rPr>
          <w:rFonts w:ascii="Times New Roman" w:hAnsi="Times New Roman"/>
          <w:i/>
          <w:sz w:val="24"/>
          <w:szCs w:val="24"/>
        </w:rPr>
        <w:t xml:space="preserve">R </w:t>
      </w:r>
      <w:r w:rsidRPr="00CC646C">
        <w:rPr>
          <w:rFonts w:ascii="Times New Roman" w:hAnsi="Times New Roman"/>
          <w:sz w:val="24"/>
          <w:szCs w:val="24"/>
        </w:rPr>
        <w:t xml:space="preserve">package </w:t>
      </w:r>
      <w:r w:rsidRPr="00CC646C">
        <w:rPr>
          <w:rFonts w:ascii="Times New Roman" w:hAnsi="Times New Roman"/>
          <w:i/>
          <w:sz w:val="24"/>
          <w:szCs w:val="24"/>
        </w:rPr>
        <w:t xml:space="preserve">microDecon </w:t>
      </w:r>
      <w:r w:rsidRPr="00CC646C">
        <w:rPr>
          <w:rFonts w:ascii="Times New Roman" w:hAnsi="Times New Roman"/>
          <w:i/>
          <w:sz w:val="24"/>
          <w:szCs w:val="24"/>
        </w:rPr>
        <w:fldChar w:fldCharType="begin" w:fldLock="1"/>
      </w:r>
      <w:r w:rsidR="00333B62">
        <w:rPr>
          <w:rFonts w:ascii="Times New Roman" w:hAnsi="Times New Roman"/>
          <w:i/>
          <w:sz w:val="24"/>
          <w:szCs w:val="24"/>
        </w:rPr>
        <w:instrText>ADDIN CSL_CITATION {"citationItems":[{"id":"ITEM-1","itemData":{"ISSN":"2637-4943","author":[{"dropping-particle":"","family":"McKnight","given":"Donald T","non-dropping-particle":"","parse-names":false,"suffix":""},{"dropping-particle":"","family":"Huerlimann","given":"Roger","non-dropping-particle":"","parse-names":false,"suffix":""},{"dropping-particle":"","family":"Bower","given":"Deborah S","non-dropping-particle":"","parse-names":false,"suffix":""},{"dropping-particle":"","family":"Schwarzkopf","given":"Lin","non-dropping-particle":"","parse-names":false,"suffix":""},{"dropping-particle":"","family":"Alford","given":"Ross A","non-dropping-particle":"","parse-names":false,"suffix":""},{"dropping-particle":"","family":"Zenger","given":"Kyall R","non-dropping-particle":"","parse-names":false,"suffix":""}],"container-title":"Environmental DNA","id":"ITEM-1","issued":{"date-parts":[["2019"]]},"publisher":"Wiley Online Library","title":"microDecon: A highly accurate read‐subtraction tool for the post‐sequencing removal of contamination in metabarcoding studies","type":"article-journal"},"uris":["http://www.mendeley.com/documents/?uuid=fab862d6-ab3a-4ce0-9c6b-6f57d51c6dce"]}],"mendeley":{"formattedCitation":"(McKnight et al., 2019)","plainTextFormattedCitation":"(McKnight et al., 2019)","previouslyFormattedCitation":"(McKnight et al. 2019)"},"properties":{"noteIndex":0},"schema":"https://github.com/citation-style-language/schema/raw/master/csl-citation.json"}</w:instrText>
      </w:r>
      <w:r w:rsidRPr="00CC646C">
        <w:rPr>
          <w:rFonts w:ascii="Times New Roman" w:hAnsi="Times New Roman"/>
          <w:i/>
          <w:sz w:val="24"/>
          <w:szCs w:val="24"/>
        </w:rPr>
        <w:fldChar w:fldCharType="separate"/>
      </w:r>
      <w:r w:rsidR="00333B62" w:rsidRPr="00333B62">
        <w:rPr>
          <w:rFonts w:ascii="Times New Roman" w:hAnsi="Times New Roman"/>
          <w:noProof/>
          <w:sz w:val="24"/>
          <w:szCs w:val="24"/>
        </w:rPr>
        <w:t>(McKnight et al., 2019)</w:t>
      </w:r>
      <w:r w:rsidRPr="00CC646C">
        <w:rPr>
          <w:rFonts w:ascii="Times New Roman" w:hAnsi="Times New Roman"/>
          <w:i/>
          <w:sz w:val="24"/>
          <w:szCs w:val="24"/>
        </w:rPr>
        <w:fldChar w:fldCharType="end"/>
      </w:r>
      <w:r w:rsidRPr="00CC646C">
        <w:rPr>
          <w:rFonts w:ascii="Times New Roman" w:hAnsi="Times New Roman"/>
          <w:sz w:val="24"/>
          <w:szCs w:val="24"/>
        </w:rPr>
        <w:t>. We used the standard parameters and grouped samples by location.</w:t>
      </w:r>
    </w:p>
    <w:p w:rsidR="007773B0" w:rsidRPr="00CC646C" w:rsidRDefault="007773B0" w:rsidP="00333B62">
      <w:pPr>
        <w:pStyle w:val="MDPI23heading3"/>
        <w:spacing w:line="480" w:lineRule="auto"/>
        <w:rPr>
          <w:rFonts w:ascii="Times New Roman" w:hAnsi="Times New Roman"/>
          <w:sz w:val="24"/>
          <w:szCs w:val="24"/>
          <w:u w:val="single"/>
        </w:rPr>
      </w:pPr>
      <w:r w:rsidRPr="00CC646C">
        <w:rPr>
          <w:rFonts w:ascii="Times New Roman" w:hAnsi="Times New Roman"/>
          <w:sz w:val="24"/>
          <w:szCs w:val="24"/>
          <w:u w:val="single"/>
        </w:rPr>
        <w:t>Site Occupancy Modelling</w:t>
      </w:r>
    </w:p>
    <w:p w:rsidR="007773B0" w:rsidRPr="00CC646C" w:rsidRDefault="007773B0" w:rsidP="00333B62">
      <w:pPr>
        <w:pStyle w:val="MDPI31text"/>
        <w:spacing w:line="480" w:lineRule="auto"/>
        <w:ind w:firstLine="0"/>
        <w:jc w:val="left"/>
        <w:rPr>
          <w:rFonts w:ascii="Times New Roman" w:hAnsi="Times New Roman"/>
          <w:sz w:val="24"/>
          <w:szCs w:val="24"/>
        </w:rPr>
      </w:pPr>
      <w:r w:rsidRPr="00CC646C">
        <w:rPr>
          <w:rFonts w:ascii="Times New Roman" w:hAnsi="Times New Roman"/>
          <w:sz w:val="24"/>
          <w:szCs w:val="24"/>
        </w:rPr>
        <w:t xml:space="preserve">The goal of site occupancy modeling is to determine whether the presence of an ASV is a true reflection of biological reality (i.e. the fish was present) or the result of a PCR artifact. This is challenging because it requires discriminating between PCR artifacts from rare but real organisms. Site occupancy modeling provides a robust statistical framework to determine if the presence pattern of an ASV reflects a PCR artifact or rare organism </w:t>
      </w:r>
      <w:r w:rsidRPr="00CC646C">
        <w:rPr>
          <w:rFonts w:ascii="Times New Roman" w:hAnsi="Times New Roman"/>
          <w:sz w:val="24"/>
          <w:szCs w:val="24"/>
        </w:rPr>
        <w:fldChar w:fldCharType="begin" w:fldLock="1"/>
      </w:r>
      <w:r w:rsidR="00333B62">
        <w:rPr>
          <w:rFonts w:ascii="Times New Roman" w:hAnsi="Times New Roman"/>
          <w:sz w:val="24"/>
          <w:szCs w:val="24"/>
        </w:rPr>
        <w:instrText>ADDIN CSL_CITATION {"citationItems":[{"id":"ITEM-1","itemData":{"ISSN":"1939-9170","author":[{"dropping-particle":"","family":"Royle","given":"J Andrew","non-dropping-particle":"","parse-names":false,"suffix":""},{"dropping-particle":"","family":"Link","given":"William A","non-dropping-particle":"","parse-names":false,"suffix":""}],"container-title":"Ecology","id":"ITEM-1","issue":"4","issued":{"date-parts":[["2006"]]},"page":"835-841","publisher":"Wiley Online Library","title":"Generalized site occupancy models allowing for false positive and false negative errors","type":"article-journal","volume":"87"},"uris":["http://www.mendeley.com/documents/?uuid=43ae3654-d4f5-4199-aaf3-e9ad763f1e2a"]},{"id":"ITEM-2","itemData":{"ISSN":"2041-210X","author":[{"dropping-particle":"","family":"Schmidt","given":"Benedikt R","non-dropping-particle":"","parse-names":false,"suffix":""},{"dropping-particle":"","family":"Kery","given":"Marc","non-dropping-particle":"","parse-names":false,"suffix":""},{"dropping-particle":"","family":"Ursenbacher","given":"Sylvain","non-dropping-particle":"","parse-names":false,"suffix":""},{"dropping-particle":"","family":"Hyman","given":"Oliver J","non-dropping-particle":"","parse-names":false,"suffix":""},{"dropping-particle":"","family":"Collins","given":"James P","non-dropping-particle":"","parse-names":false,"suffix":""}],"container-title":"Methods in Ecology and Evolution","id":"ITEM-2","issue":"7","issued":{"date-parts":[["2013"]]},"page":"646-653","publisher":"Wiley Online Library","title":"Site occupancy models in the analysis of environmental DNA presence/absence surveys: a case study of an emerging amphibian pathogen","type":"article-journal","volume":"4"},"uris":["http://www.mendeley.com/documents/?uuid=8b9bcc6f-1a8e-417e-bbf4-2c541a64ae3f"]}],"mendeley":{"formattedCitation":"(Royle &amp; Link, 2006; Schmidt, Kery, Ursenbacher, Hyman, &amp; Collins, 2013)","manualFormatting":"(Royle &amp; Link, 2006; Schmidt et al., Kery, Ursenbacher, Hyman, &amp; Collins, 2013)","plainTextFormattedCitation":"(Royle &amp; Link, 2006; Schmidt, Kery, Ursenbacher, Hyman, &amp; Collins, 2013)","previouslyFormattedCitation":"(Royle &amp; Link 2006; Schmidt et al. 2013)"},"properties":{"noteIndex":0},"schema":"https://github.com/citation-style-language/schema/raw/master/csl-citation.json"}</w:instrText>
      </w:r>
      <w:r w:rsidRPr="00CC646C">
        <w:rPr>
          <w:rFonts w:ascii="Times New Roman" w:hAnsi="Times New Roman"/>
          <w:sz w:val="24"/>
          <w:szCs w:val="24"/>
        </w:rPr>
        <w:fldChar w:fldCharType="separate"/>
      </w:r>
      <w:r w:rsidRPr="00CC646C">
        <w:rPr>
          <w:rFonts w:ascii="Times New Roman" w:hAnsi="Times New Roman"/>
          <w:noProof/>
          <w:sz w:val="24"/>
          <w:szCs w:val="24"/>
        </w:rPr>
        <w:t>(Royle &amp; Link, 2006; Schmidt et al., Kery, Ursenbacher, Hyman, &amp; Collins, 2013)</w:t>
      </w:r>
      <w:r w:rsidRPr="00CC646C">
        <w:rPr>
          <w:rFonts w:ascii="Times New Roman" w:hAnsi="Times New Roman"/>
          <w:sz w:val="24"/>
          <w:szCs w:val="24"/>
        </w:rPr>
        <w:fldChar w:fldCharType="end"/>
      </w:r>
      <w:r w:rsidRPr="00CC646C">
        <w:rPr>
          <w:rFonts w:ascii="Times New Roman" w:hAnsi="Times New Roman"/>
          <w:sz w:val="24"/>
          <w:szCs w:val="24"/>
        </w:rPr>
        <w:t xml:space="preserve">. As with all site occupancy models, we assume occupancy state does not change between sampling efforts and that detections at a site are completely independent </w:t>
      </w:r>
      <w:r w:rsidRPr="00CC646C">
        <w:rPr>
          <w:rFonts w:ascii="Times New Roman" w:hAnsi="Times New Roman"/>
          <w:sz w:val="24"/>
          <w:szCs w:val="24"/>
        </w:rPr>
        <w:fldChar w:fldCharType="begin" w:fldLock="1"/>
      </w:r>
      <w:r w:rsidR="00333B62">
        <w:rPr>
          <w:rFonts w:ascii="Times New Roman" w:hAnsi="Times New Roman"/>
          <w:sz w:val="24"/>
          <w:szCs w:val="24"/>
        </w:rPr>
        <w:instrText>ADDIN CSL_CITATION {"citationItems":[{"id":"ITEM-1","itemData":{"DOI":"10.1111/1755-0998.12486","ISSN":"1755098X","author":[{"dropping-particle":"","family":"Lahoz-Monfort","given":"José J.","non-dropping-particle":"","parse-names":false,"suffix":""},{"dropping-particle":"","family":"Guillera-Arroita","given":"Gurutzeta","non-dropping-particle":"","parse-names":false,"suffix":""},{"dropping-particle":"","family":"Tingley","given":"Reid","non-dropping-particle":"","parse-names":false,"suffix":""}],"container-title":"Molecular Ecology Resources","id":"ITEM-1","issue":"3","issued":{"date-parts":[["2016","5","1"]]},"page":"673-685","title":"Statistical approaches to account for false-positive errors in environmental DNA samples","type":"article-journal","volume":"16"},"uris":["http://www.mendeley.com/documents/?uuid=49fcdb7a-309b-3009-8b37-f8d5d3f6a3a5"]}],"mendeley":{"formattedCitation":"(Lahoz-Monfort, Guillera-Arroita, &amp; Tingley, 2016)","plainTextFormattedCitation":"(Lahoz-Monfort, Guillera-Arroita, &amp; Tingley, 2016)","previouslyFormattedCitation":"(Lahoz-Monfort et al. 2016)"},"properties":{"noteIndex":0},"schema":"https://github.com/citation-style-language/schema/raw/master/csl-citation.json"}</w:instrText>
      </w:r>
      <w:r w:rsidRPr="00CC646C">
        <w:rPr>
          <w:rFonts w:ascii="Times New Roman" w:hAnsi="Times New Roman"/>
          <w:sz w:val="24"/>
          <w:szCs w:val="24"/>
        </w:rPr>
        <w:fldChar w:fldCharType="separate"/>
      </w:r>
      <w:r w:rsidR="00333B62" w:rsidRPr="00333B62">
        <w:rPr>
          <w:rFonts w:ascii="Times New Roman" w:hAnsi="Times New Roman"/>
          <w:noProof/>
          <w:sz w:val="24"/>
          <w:szCs w:val="24"/>
        </w:rPr>
        <w:t>(Lahoz-Monfort, Guillera-Arroita, &amp; Tingley, 2016)</w:t>
      </w:r>
      <w:r w:rsidRPr="00CC646C">
        <w:rPr>
          <w:rFonts w:ascii="Times New Roman" w:hAnsi="Times New Roman"/>
          <w:sz w:val="24"/>
          <w:szCs w:val="24"/>
        </w:rPr>
        <w:fldChar w:fldCharType="end"/>
      </w:r>
      <w:r w:rsidRPr="00CC646C">
        <w:rPr>
          <w:rFonts w:ascii="Times New Roman" w:hAnsi="Times New Roman"/>
          <w:sz w:val="24"/>
          <w:szCs w:val="24"/>
        </w:rPr>
        <w:t>. Whether a site is occupied (z=1) or not (z=0) can be evaluated using a Bernoulli trial with probability of occupancy (z ~ Bern(w)). The occupancy probability is constant within a site, which is incorporated in the model through a logit-linear model. The binomial parameter of conditional on site occupancy status was defined as P[</w:t>
      </w:r>
      <w:proofErr w:type="spellStart"/>
      <w:r w:rsidRPr="00CC646C">
        <w:rPr>
          <w:rFonts w:ascii="Times New Roman" w:hAnsi="Times New Roman"/>
          <w:sz w:val="24"/>
          <w:szCs w:val="24"/>
        </w:rPr>
        <w:t>i</w:t>
      </w:r>
      <w:proofErr w:type="spellEnd"/>
      <w:r w:rsidRPr="00CC646C">
        <w:rPr>
          <w:rFonts w:ascii="Times New Roman" w:hAnsi="Times New Roman"/>
          <w:sz w:val="24"/>
          <w:szCs w:val="24"/>
        </w:rPr>
        <w:t>] &lt;- z[</w:t>
      </w:r>
      <w:proofErr w:type="spellStart"/>
      <w:r w:rsidRPr="00CC646C">
        <w:rPr>
          <w:rFonts w:ascii="Times New Roman" w:hAnsi="Times New Roman"/>
          <w:sz w:val="24"/>
          <w:szCs w:val="24"/>
        </w:rPr>
        <w:t>i</w:t>
      </w:r>
      <w:proofErr w:type="spellEnd"/>
      <w:r w:rsidRPr="00CC646C">
        <w:rPr>
          <w:rFonts w:ascii="Times New Roman" w:hAnsi="Times New Roman"/>
          <w:sz w:val="24"/>
          <w:szCs w:val="24"/>
        </w:rPr>
        <w:t>] x P11 + (1-z[</w:t>
      </w:r>
      <w:proofErr w:type="spellStart"/>
      <w:r w:rsidRPr="00CC646C">
        <w:rPr>
          <w:rFonts w:ascii="Times New Roman" w:hAnsi="Times New Roman"/>
          <w:sz w:val="24"/>
          <w:szCs w:val="24"/>
        </w:rPr>
        <w:t>i</w:t>
      </w:r>
      <w:proofErr w:type="spellEnd"/>
      <w:r w:rsidRPr="00CC646C">
        <w:rPr>
          <w:rFonts w:ascii="Times New Roman" w:hAnsi="Times New Roman"/>
          <w:sz w:val="24"/>
          <w:szCs w:val="24"/>
        </w:rPr>
        <w:t>]) x P10 1) where the probability of species occurrences at a location (denoted PSI) the conditional probability of species occurrence within an eDNA sample from a site given that the species was truly at the site (true positive detection) (denoted PS11) the conditional probability of a species occurrence within an eDNA sample from a site given that the species was falsely at the site (false positive detection) (denoted PS10). The probability occurrence function used was the following:</w:t>
      </w:r>
    </w:p>
    <w:p w:rsidR="007773B0" w:rsidRPr="00CC646C" w:rsidRDefault="007773B0" w:rsidP="00333B62">
      <w:pPr>
        <w:pStyle w:val="MDPI31text"/>
        <w:spacing w:line="480" w:lineRule="auto"/>
        <w:jc w:val="left"/>
        <w:rPr>
          <w:rFonts w:ascii="Times New Roman" w:hAnsi="Times New Roman"/>
          <w:sz w:val="24"/>
          <w:szCs w:val="24"/>
        </w:rPr>
      </w:pPr>
      <w:r w:rsidRPr="00CC646C">
        <w:rPr>
          <w:rFonts w:ascii="Times New Roman" w:hAnsi="Times New Roman"/>
          <w:sz w:val="24"/>
          <w:szCs w:val="24"/>
        </w:rPr>
        <w:t>Probability of Occurrence = (PSI x (P11^N) x (1-P11)^(K-N)) / ((PSI x (P11^N) x (1-P11)^(K-N))+(((1-PSI) x (P10^N)) x ((1-P10)^(K-N)))),                           (1)</w:t>
      </w:r>
    </w:p>
    <w:p w:rsidR="007773B0" w:rsidRPr="00CC646C" w:rsidRDefault="007773B0" w:rsidP="00333B62">
      <w:pPr>
        <w:pStyle w:val="MDPI31text"/>
        <w:spacing w:line="480" w:lineRule="auto"/>
        <w:ind w:firstLine="0"/>
        <w:jc w:val="left"/>
        <w:rPr>
          <w:rFonts w:ascii="Times New Roman" w:hAnsi="Times New Roman"/>
          <w:sz w:val="24"/>
          <w:szCs w:val="24"/>
        </w:rPr>
      </w:pPr>
      <w:r w:rsidRPr="00CC646C">
        <w:rPr>
          <w:rFonts w:ascii="Times New Roman" w:hAnsi="Times New Roman"/>
          <w:sz w:val="24"/>
          <w:szCs w:val="24"/>
        </w:rPr>
        <w:lastRenderedPageBreak/>
        <w:t xml:space="preserve">Where K is the number of samples taken within a site and N is the number of ASV detections within a site. </w:t>
      </w:r>
    </w:p>
    <w:p w:rsidR="007773B0" w:rsidRPr="00CC646C" w:rsidRDefault="007773B0" w:rsidP="00333B62">
      <w:pPr>
        <w:pStyle w:val="MDPI31text"/>
        <w:spacing w:line="480" w:lineRule="auto"/>
        <w:jc w:val="left"/>
        <w:rPr>
          <w:rFonts w:ascii="Times New Roman" w:hAnsi="Times New Roman"/>
          <w:sz w:val="24"/>
          <w:szCs w:val="24"/>
        </w:rPr>
      </w:pPr>
      <w:r w:rsidRPr="00CC646C">
        <w:rPr>
          <w:rFonts w:ascii="Times New Roman" w:hAnsi="Times New Roman"/>
          <w:sz w:val="24"/>
          <w:szCs w:val="24"/>
        </w:rPr>
        <w:t xml:space="preserve">   Occupancy probability (PSI) was modeled with priors from a left-skewed beta distribution alpha = 1 and beta = 6 as we assume most species are rare in most locations. We modeled the true positive probability (P11) with left-skewed beta distribution alpha = 6 and beta = 1 as we assume our primers to a reasonably good job of detecting species if a species is present. False positive probability (P10) was modeled with priors from a left-skewed beta distribution alpha = 1 and beta = 30 as we assume the false positive rate of detection is unlikely to approach the true positive rate.</w:t>
      </w:r>
    </w:p>
    <w:p w:rsidR="007773B0" w:rsidRPr="00CC646C" w:rsidRDefault="007773B0" w:rsidP="00333B62">
      <w:pPr>
        <w:pStyle w:val="MDPI31text"/>
        <w:spacing w:line="480" w:lineRule="auto"/>
        <w:jc w:val="left"/>
        <w:rPr>
          <w:rFonts w:ascii="Times New Roman" w:hAnsi="Times New Roman"/>
          <w:sz w:val="24"/>
          <w:szCs w:val="24"/>
        </w:rPr>
      </w:pPr>
      <w:r w:rsidRPr="00CC646C">
        <w:rPr>
          <w:rFonts w:ascii="Times New Roman" w:hAnsi="Times New Roman"/>
          <w:sz w:val="24"/>
          <w:szCs w:val="24"/>
        </w:rPr>
        <w:t>For each ASV we created a presence-absence matrix for each site to feed the model. Each matrix was 3 sites by 9 samples. The occurrence of a sequence for one ASV in a given replicate water sample was treated as a detection with that site. Each pattern of occurrence for a given ASV within a given site was considered a case. We then summarized the number of occurrences of each case and ran each case through a separate occupancy model to reduce computational time. Each unique model was run 10 times in order to filter out cases in which the model converged into a local maxima. We then removed all ASVs which had a modeled site occupancy probability of less than 75%.</w:t>
      </w:r>
    </w:p>
    <w:p w:rsidR="007773B0" w:rsidRPr="00CC646C" w:rsidRDefault="007773B0" w:rsidP="00333B62">
      <w:pPr>
        <w:pStyle w:val="MDPI23heading3"/>
        <w:spacing w:line="480" w:lineRule="auto"/>
        <w:rPr>
          <w:rFonts w:ascii="Times New Roman" w:hAnsi="Times New Roman"/>
          <w:sz w:val="24"/>
          <w:szCs w:val="24"/>
          <w:u w:val="single"/>
        </w:rPr>
      </w:pPr>
      <w:r w:rsidRPr="00CC646C">
        <w:rPr>
          <w:rFonts w:ascii="Times New Roman" w:hAnsi="Times New Roman"/>
          <w:sz w:val="24"/>
          <w:szCs w:val="24"/>
          <w:u w:val="single"/>
        </w:rPr>
        <w:t>Calculating eDNA Index Scores</w:t>
      </w:r>
    </w:p>
    <w:p w:rsidR="007773B0" w:rsidRPr="00CC646C" w:rsidRDefault="007773B0" w:rsidP="00333B62">
      <w:pPr>
        <w:pStyle w:val="MDPI31text"/>
        <w:spacing w:line="480" w:lineRule="auto"/>
        <w:ind w:firstLine="0"/>
        <w:jc w:val="left"/>
        <w:rPr>
          <w:rFonts w:ascii="Times New Roman" w:hAnsi="Times New Roman"/>
          <w:sz w:val="24"/>
          <w:szCs w:val="24"/>
        </w:rPr>
      </w:pPr>
      <w:r w:rsidRPr="00CC646C">
        <w:rPr>
          <w:rFonts w:ascii="Times New Roman" w:hAnsi="Times New Roman"/>
          <w:sz w:val="24"/>
          <w:szCs w:val="24"/>
        </w:rPr>
        <w:t xml:space="preserve">The eDNA index was computed following the methods of Kelly et al. 2019 </w:t>
      </w:r>
      <w:r w:rsidRPr="00CC646C">
        <w:rPr>
          <w:rFonts w:ascii="Times New Roman" w:hAnsi="Times New Roman"/>
          <w:sz w:val="24"/>
          <w:szCs w:val="24"/>
        </w:rPr>
        <w:fldChar w:fldCharType="begin" w:fldLock="1"/>
      </w:r>
      <w:r w:rsidR="00333B62">
        <w:rPr>
          <w:rFonts w:ascii="Times New Roman" w:hAnsi="Times New Roman"/>
          <w:sz w:val="24"/>
          <w:szCs w:val="24"/>
        </w:rPr>
        <w:instrText>ADDIN CSL_CITATION {"citationItems":[{"id":"ITEM-1","itemData":{"ISSN":"2045-2322","author":[{"dropping-particle":"","family":"Kelly","given":"Ryan P","non-dropping-particle":"","parse-names":false,"suffix":""},{"dropping-particle":"","family":"Shelton","given":"Andrew Olaf","non-dropping-particle":"","parse-names":false,"suffix":""},{"dropping-particle":"","family":"Gallego","given":"Ramón","non-dropping-particle":"","parse-names":false,"suffix":""}],"container-title":"Scientific reports","id":"ITEM-1","issue":"1","issued":{"date-parts":[["2019"]]},"page":"1-14","publisher":"Nature Publishing Group","title":"Understanding PCR processes to Draw Meaningful conclusions from environmental DNA Studies","type":"article-journal","volume":"9"},"uris":["http://www.mendeley.com/documents/?uuid=daaa96b9-1644-46f7-bf30-95a34efb76c1"]}],"mendeley":{"formattedCitation":"(Kelly, Shelton, &amp; Gallego, 2019)","plainTextFormattedCitation":"(Kelly, Shelton, &amp; Gallego, 2019)","previouslyFormattedCitation":"(Kelly et al. 2019)"},"properties":{"noteIndex":0},"schema":"https://github.com/citation-style-language/schema/raw/master/csl-citation.json"}</w:instrText>
      </w:r>
      <w:r w:rsidRPr="00CC646C">
        <w:rPr>
          <w:rFonts w:ascii="Times New Roman" w:hAnsi="Times New Roman"/>
          <w:sz w:val="24"/>
          <w:szCs w:val="24"/>
        </w:rPr>
        <w:fldChar w:fldCharType="separate"/>
      </w:r>
      <w:r w:rsidR="00333B62" w:rsidRPr="00333B62">
        <w:rPr>
          <w:rFonts w:ascii="Times New Roman" w:hAnsi="Times New Roman"/>
          <w:noProof/>
          <w:sz w:val="24"/>
          <w:szCs w:val="24"/>
        </w:rPr>
        <w:t>(Kelly, Shelton, &amp; Gallego, 2019)</w:t>
      </w:r>
      <w:r w:rsidRPr="00CC646C">
        <w:rPr>
          <w:rFonts w:ascii="Times New Roman" w:hAnsi="Times New Roman"/>
          <w:sz w:val="24"/>
          <w:szCs w:val="24"/>
        </w:rPr>
        <w:fldChar w:fldCharType="end"/>
      </w:r>
      <w:r w:rsidRPr="00CC646C">
        <w:rPr>
          <w:rFonts w:ascii="Times New Roman" w:hAnsi="Times New Roman"/>
          <w:sz w:val="24"/>
          <w:szCs w:val="24"/>
        </w:rPr>
        <w:t xml:space="preserve">. This was accomplished by first calculating the mean read count for each assigned taxonomy and then calculating the relative abundance of each ASV; number of reads of each ASV divided by the total number of reads per sample. The relative abundance of each taxa in each sample was then divided by the maximum abundance for a given species across all </w:t>
      </w:r>
      <w:r w:rsidRPr="00CC646C">
        <w:rPr>
          <w:rFonts w:ascii="Times New Roman" w:hAnsi="Times New Roman"/>
          <w:sz w:val="24"/>
          <w:szCs w:val="24"/>
        </w:rPr>
        <w:lastRenderedPageBreak/>
        <w:t>samples to generate the eDNA index. The index thus normalizes the read count per species and per sample. The eDNA index values 0 to 1 for each taxa, allowing for abundance comparisons of a specific taxa across sites.</w:t>
      </w:r>
    </w:p>
    <w:p w:rsidR="00333B62" w:rsidRPr="00C450A8" w:rsidRDefault="00333B62" w:rsidP="00333B62">
      <w:pPr>
        <w:pStyle w:val="MDPI31text"/>
        <w:spacing w:before="120" w:line="480" w:lineRule="auto"/>
        <w:ind w:firstLine="0"/>
        <w:jc w:val="left"/>
        <w:rPr>
          <w:rFonts w:ascii="Times New Roman" w:hAnsi="Times New Roman"/>
          <w:i/>
          <w:iCs/>
          <w:spacing w:val="-2"/>
          <w:sz w:val="24"/>
          <w:szCs w:val="24"/>
        </w:rPr>
      </w:pPr>
      <w:r w:rsidRPr="00C450A8">
        <w:rPr>
          <w:rFonts w:ascii="Times New Roman" w:hAnsi="Times New Roman"/>
          <w:i/>
          <w:iCs/>
          <w:spacing w:val="-2"/>
          <w:sz w:val="24"/>
          <w:szCs w:val="24"/>
        </w:rPr>
        <w:t>Visual Underwater Census Methods</w:t>
      </w:r>
    </w:p>
    <w:p w:rsidR="00333B62" w:rsidRPr="00C450A8" w:rsidRDefault="00333B62" w:rsidP="00333B62">
      <w:pPr>
        <w:pStyle w:val="MDPI31text"/>
        <w:spacing w:line="480" w:lineRule="auto"/>
        <w:ind w:firstLine="0"/>
        <w:jc w:val="left"/>
        <w:rPr>
          <w:rFonts w:ascii="Times New Roman" w:hAnsi="Times New Roman"/>
          <w:spacing w:val="-2"/>
          <w:sz w:val="24"/>
          <w:szCs w:val="24"/>
        </w:rPr>
      </w:pPr>
      <w:r w:rsidRPr="00C450A8">
        <w:rPr>
          <w:rFonts w:ascii="Times New Roman" w:hAnsi="Times New Roman"/>
          <w:spacing w:val="-2"/>
          <w:sz w:val="24"/>
          <w:szCs w:val="24"/>
        </w:rPr>
        <w:t xml:space="preserve">To assess fish communities using underwater visual census techniques, SCUBA divers from the National Park Service Kelp Forest Monitoring Program followed standard survey protocols following </w:t>
      </w:r>
      <w:r>
        <w:rPr>
          <w:rFonts w:ascii="Times New Roman" w:hAnsi="Times New Roman"/>
          <w:spacing w:val="-2"/>
          <w:sz w:val="24"/>
          <w:szCs w:val="24"/>
        </w:rPr>
        <w:t>Kushner</w:t>
      </w:r>
      <w:r w:rsidRPr="00C450A8">
        <w:rPr>
          <w:rFonts w:ascii="Times New Roman" w:hAnsi="Times New Roman"/>
          <w:spacing w:val="-2"/>
          <w:sz w:val="24"/>
          <w:szCs w:val="24"/>
        </w:rPr>
        <w:t xml:space="preserve"> </w:t>
      </w:r>
      <w:r w:rsidRPr="00AB1EEC">
        <w:rPr>
          <w:rFonts w:ascii="Times New Roman" w:hAnsi="Times New Roman"/>
          <w:iCs/>
          <w:spacing w:val="-2"/>
          <w:sz w:val="24"/>
          <w:szCs w:val="24"/>
        </w:rPr>
        <w:t>et al</w:t>
      </w:r>
      <w:r w:rsidRPr="00C450A8">
        <w:rPr>
          <w:rFonts w:ascii="Times New Roman" w:hAnsi="Times New Roman"/>
          <w:i/>
          <w:spacing w:val="-2"/>
          <w:sz w:val="24"/>
          <w:szCs w:val="24"/>
        </w:rPr>
        <w:t>.</w:t>
      </w:r>
      <w:r>
        <w:rPr>
          <w:rFonts w:ascii="Times New Roman" w:hAnsi="Times New Roman"/>
          <w:i/>
          <w:spacing w:val="-2"/>
          <w:sz w:val="24"/>
          <w:szCs w:val="24"/>
        </w:rPr>
        <w:t xml:space="preserve"> </w:t>
      </w:r>
      <w:r>
        <w:rPr>
          <w:rFonts w:ascii="Times New Roman" w:hAnsi="Times New Roman"/>
          <w:i/>
          <w:spacing w:val="-2"/>
          <w:sz w:val="24"/>
          <w:szCs w:val="24"/>
        </w:rPr>
        <w:fldChar w:fldCharType="begin" w:fldLock="1"/>
      </w:r>
      <w:r>
        <w:rPr>
          <w:rFonts w:ascii="Times New Roman" w:hAnsi="Times New Roman"/>
          <w:i/>
          <w:spacing w:val="-2"/>
          <w:sz w:val="24"/>
          <w:szCs w:val="24"/>
        </w:rPr>
        <w:instrText>ADDIN CSL_CITATION {"citationItems":[{"id":"ITEM-1","itemData":{"ISSN":"1939-9170","author":[{"dropping-particle":"","family":"Kushner","given":"David J","non-dropping-particle":"","parse-names":false,"suffix":""},{"dropping-particle":"","family":"Rassweiler","given":"Andrew","non-dropping-particle":"","parse-names":false,"suffix":""},{"dropping-particle":"","family":"McLaughlin","given":"John P","non-dropping-particle":"","parse-names":false,"suffix":""},{"dropping-particle":"","family":"Lafferty","given":"Kevin D","non-dropping-particle":"","parse-names":false,"suffix":""}],"container-title":"Ecology","id":"ITEM-1","issue":"11","issued":{"date-parts":[["2013"]]},"page":"2655","publisher":"Wiley-Blackwell","title":"A multi-decade time series of kelp forest community structure at the California Channel Islands","type":"article-journal","volume":"94"},"uris":["http://www.mendeley.com/documents/?uuid=27a49882-32e9-45eb-9c80-00683aa4118b"]}],"mendeley":{"formattedCitation":"(Kushner et al., 2013)","manualFormatting":"(2013)","plainTextFormattedCitation":"(Kushner et al., 2013)","previouslyFormattedCitation":"(Kushner et al. 2013)"},"properties":{"noteIndex":0},"schema":"https://github.com/citation-style-language/schema/raw/master/csl-citation.json"}</w:instrText>
      </w:r>
      <w:r>
        <w:rPr>
          <w:rFonts w:ascii="Times New Roman" w:hAnsi="Times New Roman"/>
          <w:i/>
          <w:spacing w:val="-2"/>
          <w:sz w:val="24"/>
          <w:szCs w:val="24"/>
        </w:rPr>
        <w:fldChar w:fldCharType="separate"/>
      </w:r>
      <w:r w:rsidRPr="00B92058">
        <w:rPr>
          <w:rFonts w:ascii="Times New Roman" w:hAnsi="Times New Roman"/>
          <w:noProof/>
          <w:spacing w:val="-2"/>
          <w:sz w:val="24"/>
          <w:szCs w:val="24"/>
        </w:rPr>
        <w:t>(2013)</w:t>
      </w:r>
      <w:r>
        <w:rPr>
          <w:rFonts w:ascii="Times New Roman" w:hAnsi="Times New Roman"/>
          <w:i/>
          <w:spacing w:val="-2"/>
          <w:sz w:val="24"/>
          <w:szCs w:val="24"/>
        </w:rPr>
        <w:fldChar w:fldCharType="end"/>
      </w:r>
      <w:r w:rsidRPr="00C450A8">
        <w:rPr>
          <w:rFonts w:ascii="Times New Roman" w:hAnsi="Times New Roman"/>
          <w:spacing w:val="-2"/>
          <w:sz w:val="24"/>
          <w:szCs w:val="24"/>
        </w:rPr>
        <w:t>. These protocols include survey types: visual fish transects, roving diver fish counts, and 1m quadrat</w:t>
      </w:r>
      <w:r>
        <w:rPr>
          <w:rFonts w:ascii="Times New Roman" w:hAnsi="Times New Roman"/>
          <w:spacing w:val="-2"/>
          <w:sz w:val="24"/>
          <w:szCs w:val="24"/>
        </w:rPr>
        <w:t>s</w:t>
      </w:r>
      <w:r w:rsidRPr="00C450A8">
        <w:rPr>
          <w:rFonts w:ascii="Times New Roman" w:hAnsi="Times New Roman"/>
          <w:spacing w:val="-2"/>
          <w:sz w:val="24"/>
          <w:szCs w:val="24"/>
        </w:rPr>
        <w:t xml:space="preserve">. The visual fish transects targeted </w:t>
      </w:r>
      <w:r>
        <w:rPr>
          <w:rFonts w:ascii="Times New Roman" w:hAnsi="Times New Roman"/>
          <w:spacing w:val="-2"/>
          <w:sz w:val="24"/>
          <w:szCs w:val="24"/>
        </w:rPr>
        <w:t>13</w:t>
      </w:r>
      <w:r w:rsidRPr="00C450A8">
        <w:rPr>
          <w:rFonts w:ascii="Times New Roman" w:hAnsi="Times New Roman"/>
          <w:spacing w:val="-2"/>
          <w:sz w:val="24"/>
          <w:szCs w:val="24"/>
        </w:rPr>
        <w:t xml:space="preserve"> indicator species of fish on visual fish transects</w:t>
      </w:r>
      <w:r>
        <w:rPr>
          <w:rFonts w:ascii="Times New Roman" w:hAnsi="Times New Roman"/>
          <w:spacing w:val="-2"/>
          <w:sz w:val="24"/>
          <w:szCs w:val="24"/>
        </w:rPr>
        <w:t xml:space="preserve"> recording the counts of adults and juveniles as well as sex for two </w:t>
      </w:r>
      <w:proofErr w:type="spellStart"/>
      <w:r w:rsidRPr="00EB3C96">
        <w:rPr>
          <w:rFonts w:ascii="Times New Roman" w:hAnsi="Times New Roman"/>
          <w:spacing w:val="-2"/>
          <w:sz w:val="24"/>
          <w:szCs w:val="24"/>
        </w:rPr>
        <w:t>monandric</w:t>
      </w:r>
      <w:proofErr w:type="spellEnd"/>
      <w:r w:rsidRPr="00EB3C96">
        <w:rPr>
          <w:rFonts w:ascii="Times New Roman" w:hAnsi="Times New Roman"/>
          <w:spacing w:val="-2"/>
          <w:sz w:val="24"/>
          <w:szCs w:val="24"/>
        </w:rPr>
        <w:t xml:space="preserve"> protogynous</w:t>
      </w:r>
      <w:r>
        <w:rPr>
          <w:rFonts w:ascii="Times New Roman" w:hAnsi="Times New Roman"/>
          <w:spacing w:val="-2"/>
          <w:sz w:val="24"/>
          <w:szCs w:val="24"/>
        </w:rPr>
        <w:t xml:space="preserve"> hermaphrodite indicator species</w:t>
      </w:r>
      <w:r w:rsidRPr="00C450A8">
        <w:rPr>
          <w:rFonts w:ascii="Times New Roman" w:hAnsi="Times New Roman"/>
          <w:spacing w:val="-2"/>
          <w:sz w:val="24"/>
          <w:szCs w:val="24"/>
        </w:rPr>
        <w:t xml:space="preserve">. </w:t>
      </w:r>
      <w:r>
        <w:rPr>
          <w:rFonts w:ascii="Times New Roman" w:hAnsi="Times New Roman"/>
          <w:spacing w:val="-2"/>
          <w:sz w:val="24"/>
          <w:szCs w:val="24"/>
        </w:rPr>
        <w:t>This protocol consists of performing 2m x 3m x 50 m transects along the 100m permanent transect. However, during r</w:t>
      </w:r>
      <w:r w:rsidRPr="00C450A8">
        <w:rPr>
          <w:rFonts w:ascii="Times New Roman" w:hAnsi="Times New Roman"/>
          <w:spacing w:val="-2"/>
          <w:sz w:val="24"/>
          <w:szCs w:val="24"/>
        </w:rPr>
        <w:t>oving diver fish count</w:t>
      </w:r>
      <w:r>
        <w:rPr>
          <w:rFonts w:ascii="Times New Roman" w:hAnsi="Times New Roman"/>
          <w:spacing w:val="-2"/>
          <w:sz w:val="24"/>
          <w:szCs w:val="24"/>
        </w:rPr>
        <w:t xml:space="preserve"> surveys all</w:t>
      </w:r>
      <w:r w:rsidRPr="00C450A8">
        <w:rPr>
          <w:rFonts w:ascii="Times New Roman" w:hAnsi="Times New Roman"/>
          <w:spacing w:val="-2"/>
          <w:sz w:val="24"/>
          <w:szCs w:val="24"/>
        </w:rPr>
        <w:t xml:space="preserve"> </w:t>
      </w:r>
      <w:r>
        <w:rPr>
          <w:rFonts w:ascii="Times New Roman" w:hAnsi="Times New Roman"/>
          <w:spacing w:val="-2"/>
          <w:sz w:val="24"/>
          <w:szCs w:val="24"/>
        </w:rPr>
        <w:t xml:space="preserve">positively identified </w:t>
      </w:r>
      <w:r w:rsidRPr="00C450A8">
        <w:rPr>
          <w:rFonts w:ascii="Times New Roman" w:hAnsi="Times New Roman"/>
          <w:spacing w:val="-2"/>
          <w:sz w:val="24"/>
          <w:szCs w:val="24"/>
        </w:rPr>
        <w:t xml:space="preserve">species </w:t>
      </w:r>
      <w:r>
        <w:rPr>
          <w:rFonts w:ascii="Times New Roman" w:hAnsi="Times New Roman"/>
          <w:spacing w:val="-2"/>
          <w:sz w:val="24"/>
          <w:szCs w:val="24"/>
        </w:rPr>
        <w:t>are recorded</w:t>
      </w:r>
      <w:r w:rsidRPr="00C450A8">
        <w:rPr>
          <w:rFonts w:ascii="Times New Roman" w:hAnsi="Times New Roman"/>
          <w:spacing w:val="-2"/>
          <w:sz w:val="24"/>
          <w:szCs w:val="24"/>
        </w:rPr>
        <w:t xml:space="preserve">. </w:t>
      </w:r>
      <w:r>
        <w:rPr>
          <w:rFonts w:ascii="Times New Roman" w:hAnsi="Times New Roman"/>
          <w:spacing w:val="-2"/>
          <w:sz w:val="24"/>
          <w:szCs w:val="24"/>
        </w:rPr>
        <w:t>This protocol consists of 3-6 divers counting all fish species observed during a 30 minute time period, covering as much of the 2000 m</w:t>
      </w:r>
      <w:bookmarkStart w:id="0" w:name="_Hlk44275180"/>
      <w:r w:rsidRPr="004F3A92">
        <w:rPr>
          <w:rFonts w:ascii="Times New Roman" w:hAnsi="Times New Roman"/>
          <w:spacing w:val="-2"/>
          <w:sz w:val="24"/>
          <w:szCs w:val="24"/>
          <w:vertAlign w:val="superscript"/>
        </w:rPr>
        <w:t>2</w:t>
      </w:r>
      <w:bookmarkEnd w:id="0"/>
      <w:r>
        <w:rPr>
          <w:rFonts w:ascii="Times New Roman" w:hAnsi="Times New Roman"/>
          <w:spacing w:val="-2"/>
          <w:sz w:val="24"/>
          <w:szCs w:val="24"/>
        </w:rPr>
        <w:t xml:space="preserve"> of bottom and entire water column as possible (100m long permanent transect, extending 10m both sides, and to the surface). </w:t>
      </w:r>
      <w:r w:rsidRPr="00EC14E6">
        <w:rPr>
          <w:rFonts w:ascii="Times New Roman" w:hAnsi="Times New Roman"/>
          <w:spacing w:val="-2"/>
          <w:sz w:val="24"/>
          <w:szCs w:val="24"/>
        </w:rPr>
        <w:t>The</w:t>
      </w:r>
      <w:r w:rsidRPr="00C450A8">
        <w:rPr>
          <w:rFonts w:ascii="Times New Roman" w:hAnsi="Times New Roman"/>
          <w:spacing w:val="-2"/>
          <w:sz w:val="24"/>
          <w:szCs w:val="24"/>
        </w:rPr>
        <w:t xml:space="preserve"> 1m</w:t>
      </w:r>
      <w:r w:rsidRPr="003F6D39">
        <w:rPr>
          <w:rFonts w:ascii="Times New Roman" w:hAnsi="Times New Roman"/>
          <w:spacing w:val="-2"/>
          <w:sz w:val="24"/>
          <w:szCs w:val="24"/>
          <w:vertAlign w:val="superscript"/>
        </w:rPr>
        <w:t>2</w:t>
      </w:r>
      <w:r w:rsidRPr="00C450A8">
        <w:rPr>
          <w:rFonts w:ascii="Times New Roman" w:hAnsi="Times New Roman"/>
          <w:spacing w:val="-2"/>
          <w:sz w:val="24"/>
          <w:szCs w:val="24"/>
        </w:rPr>
        <w:t xml:space="preserve"> quadrat records three small demersal species of fish: </w:t>
      </w:r>
      <w:proofErr w:type="spellStart"/>
      <w:r w:rsidRPr="00C450A8">
        <w:rPr>
          <w:rFonts w:ascii="Times New Roman" w:hAnsi="Times New Roman"/>
          <w:i/>
          <w:iCs/>
          <w:spacing w:val="-2"/>
          <w:sz w:val="24"/>
          <w:szCs w:val="24"/>
        </w:rPr>
        <w:t>Lythrypynus</w:t>
      </w:r>
      <w:proofErr w:type="spellEnd"/>
      <w:r w:rsidRPr="00C450A8">
        <w:rPr>
          <w:rFonts w:ascii="Times New Roman" w:hAnsi="Times New Roman"/>
          <w:i/>
          <w:iCs/>
          <w:spacing w:val="-2"/>
          <w:sz w:val="24"/>
          <w:szCs w:val="24"/>
        </w:rPr>
        <w:t xml:space="preserve"> dalli</w:t>
      </w:r>
      <w:r w:rsidRPr="00C450A8">
        <w:rPr>
          <w:rFonts w:ascii="Times New Roman" w:hAnsi="Times New Roman"/>
          <w:spacing w:val="-2"/>
          <w:sz w:val="24"/>
          <w:szCs w:val="24"/>
        </w:rPr>
        <w:t xml:space="preserve">, </w:t>
      </w:r>
      <w:r>
        <w:rPr>
          <w:rFonts w:ascii="Times New Roman" w:hAnsi="Times New Roman"/>
          <w:i/>
          <w:iCs/>
          <w:spacing w:val="-2"/>
          <w:sz w:val="24"/>
          <w:szCs w:val="24"/>
        </w:rPr>
        <w:t>Rhinogobiops nicholsii</w:t>
      </w:r>
      <w:r w:rsidRPr="00C450A8">
        <w:rPr>
          <w:rFonts w:ascii="Times New Roman" w:hAnsi="Times New Roman"/>
          <w:i/>
          <w:iCs/>
          <w:spacing w:val="-2"/>
          <w:sz w:val="24"/>
          <w:szCs w:val="24"/>
        </w:rPr>
        <w:t>,</w:t>
      </w:r>
      <w:r w:rsidRPr="00C450A8">
        <w:rPr>
          <w:rFonts w:ascii="Times New Roman" w:hAnsi="Times New Roman"/>
          <w:spacing w:val="-2"/>
          <w:sz w:val="24"/>
          <w:szCs w:val="24"/>
        </w:rPr>
        <w:t xml:space="preserve"> and </w:t>
      </w:r>
      <w:r w:rsidRPr="00C450A8">
        <w:rPr>
          <w:rFonts w:ascii="Times New Roman" w:hAnsi="Times New Roman"/>
          <w:i/>
          <w:iCs/>
          <w:spacing w:val="-2"/>
          <w:sz w:val="24"/>
          <w:szCs w:val="24"/>
        </w:rPr>
        <w:t xml:space="preserve">Alloclinus holderi. </w:t>
      </w:r>
      <w:r w:rsidRPr="00C450A8">
        <w:rPr>
          <w:rFonts w:ascii="Times New Roman" w:hAnsi="Times New Roman"/>
          <w:spacing w:val="-2"/>
          <w:sz w:val="24"/>
          <w:szCs w:val="24"/>
        </w:rPr>
        <w:t>All visual surveys occurred along a permanent 100</w:t>
      </w:r>
      <w:r>
        <w:rPr>
          <w:rFonts w:ascii="Times New Roman" w:hAnsi="Times New Roman"/>
          <w:spacing w:val="-2"/>
          <w:sz w:val="24"/>
          <w:szCs w:val="24"/>
        </w:rPr>
        <w:t xml:space="preserve"> </w:t>
      </w:r>
      <w:r w:rsidRPr="00C450A8">
        <w:rPr>
          <w:rFonts w:ascii="Times New Roman" w:hAnsi="Times New Roman"/>
          <w:spacing w:val="-2"/>
          <w:sz w:val="24"/>
          <w:szCs w:val="24"/>
        </w:rPr>
        <w:t>m transect at each site and were conducted within 2 weeks of eDNA sampling (</w:t>
      </w:r>
      <w:r>
        <w:rPr>
          <w:rFonts w:ascii="Times New Roman" w:hAnsi="Times New Roman"/>
          <w:spacing w:val="-2"/>
          <w:sz w:val="24"/>
          <w:szCs w:val="24"/>
        </w:rPr>
        <w:t>S</w:t>
      </w:r>
      <w:r w:rsidRPr="00C450A8">
        <w:rPr>
          <w:rFonts w:ascii="Times New Roman" w:hAnsi="Times New Roman"/>
          <w:spacing w:val="-2"/>
          <w:sz w:val="24"/>
          <w:szCs w:val="24"/>
        </w:rPr>
        <w:t>ee supplemental methods).</w:t>
      </w:r>
    </w:p>
    <w:p w:rsidR="007773B0" w:rsidRPr="00C450A8" w:rsidRDefault="007773B0" w:rsidP="00333B62">
      <w:pPr>
        <w:pStyle w:val="MDPI21heading1"/>
        <w:spacing w:line="480" w:lineRule="auto"/>
        <w:rPr>
          <w:rFonts w:ascii="Times New Roman" w:hAnsi="Times New Roman"/>
          <w:sz w:val="24"/>
          <w:szCs w:val="24"/>
        </w:rPr>
      </w:pPr>
      <w:r w:rsidRPr="00C450A8">
        <w:rPr>
          <w:rFonts w:ascii="Times New Roman" w:hAnsi="Times New Roman"/>
          <w:sz w:val="24"/>
          <w:szCs w:val="24"/>
        </w:rPr>
        <w:t>Appendix B – Supplemental Results</w:t>
      </w:r>
    </w:p>
    <w:p w:rsidR="007773B0" w:rsidRPr="00CC646C" w:rsidRDefault="007773B0" w:rsidP="00333B62">
      <w:pPr>
        <w:pStyle w:val="MDPI31text"/>
        <w:spacing w:line="480" w:lineRule="auto"/>
        <w:ind w:firstLine="0"/>
        <w:jc w:val="left"/>
        <w:rPr>
          <w:rFonts w:ascii="Times New Roman" w:hAnsi="Times New Roman"/>
          <w:sz w:val="24"/>
          <w:szCs w:val="24"/>
        </w:rPr>
      </w:pPr>
      <w:r w:rsidRPr="00CC646C">
        <w:rPr>
          <w:rFonts w:ascii="Times New Roman" w:hAnsi="Times New Roman"/>
          <w:sz w:val="24"/>
          <w:szCs w:val="24"/>
        </w:rPr>
        <w:t>The unique taxa found at the outside site were sand basses (</w:t>
      </w:r>
      <w:r w:rsidRPr="00CC646C">
        <w:rPr>
          <w:rFonts w:ascii="Times New Roman" w:hAnsi="Times New Roman"/>
          <w:i/>
          <w:iCs/>
          <w:sz w:val="24"/>
          <w:szCs w:val="24"/>
        </w:rPr>
        <w:t xml:space="preserve">Paralabrax </w:t>
      </w:r>
      <w:r w:rsidRPr="00CC646C">
        <w:rPr>
          <w:rFonts w:ascii="Times New Roman" w:hAnsi="Times New Roman"/>
          <w:sz w:val="24"/>
          <w:szCs w:val="24"/>
        </w:rPr>
        <w:t>sp.), kelpfishes (</w:t>
      </w:r>
      <w:r w:rsidRPr="00CC646C">
        <w:rPr>
          <w:rFonts w:ascii="Times New Roman" w:hAnsi="Times New Roman"/>
          <w:i/>
          <w:sz w:val="24"/>
          <w:szCs w:val="24"/>
        </w:rPr>
        <w:t xml:space="preserve">Gibbonsia </w:t>
      </w:r>
      <w:r w:rsidRPr="00CC646C">
        <w:rPr>
          <w:rFonts w:ascii="Times New Roman" w:hAnsi="Times New Roman"/>
          <w:iCs/>
          <w:sz w:val="24"/>
          <w:szCs w:val="24"/>
        </w:rPr>
        <w:t>sp.</w:t>
      </w:r>
      <w:r w:rsidRPr="00CC646C">
        <w:rPr>
          <w:rFonts w:ascii="Times New Roman" w:hAnsi="Times New Roman"/>
          <w:sz w:val="24"/>
          <w:szCs w:val="24"/>
        </w:rPr>
        <w:t>), C</w:t>
      </w:r>
      <w:r>
        <w:rPr>
          <w:rFonts w:ascii="Times New Roman" w:hAnsi="Times New Roman"/>
          <w:sz w:val="24"/>
          <w:szCs w:val="24"/>
        </w:rPr>
        <w:t>alifornia</w:t>
      </w:r>
      <w:r w:rsidRPr="00CC646C">
        <w:rPr>
          <w:rFonts w:ascii="Times New Roman" w:hAnsi="Times New Roman"/>
          <w:sz w:val="24"/>
          <w:szCs w:val="24"/>
        </w:rPr>
        <w:t xml:space="preserve"> clingfish (</w:t>
      </w:r>
      <w:r w:rsidRPr="00CC646C">
        <w:rPr>
          <w:rFonts w:ascii="Times New Roman" w:hAnsi="Times New Roman"/>
          <w:i/>
          <w:sz w:val="24"/>
          <w:szCs w:val="24"/>
        </w:rPr>
        <w:t xml:space="preserve">Gobiesox rhessodon </w:t>
      </w:r>
      <w:r w:rsidRPr="00CC646C">
        <w:rPr>
          <w:rFonts w:ascii="Times New Roman" w:hAnsi="Times New Roman"/>
          <w:iCs/>
          <w:sz w:val="24"/>
          <w:szCs w:val="24"/>
        </w:rPr>
        <w:t xml:space="preserve">and </w:t>
      </w:r>
      <w:r w:rsidRPr="00CC646C">
        <w:rPr>
          <w:rFonts w:ascii="Times New Roman" w:hAnsi="Times New Roman"/>
          <w:i/>
          <w:sz w:val="24"/>
          <w:szCs w:val="24"/>
        </w:rPr>
        <w:t>Rimicola muscarum</w:t>
      </w:r>
      <w:r w:rsidRPr="00CC646C">
        <w:rPr>
          <w:rFonts w:ascii="Times New Roman" w:hAnsi="Times New Roman"/>
          <w:sz w:val="24"/>
          <w:szCs w:val="24"/>
        </w:rPr>
        <w:t xml:space="preserve">), </w:t>
      </w:r>
      <w:r>
        <w:rPr>
          <w:rFonts w:ascii="Times New Roman" w:hAnsi="Times New Roman"/>
          <w:sz w:val="24"/>
          <w:szCs w:val="24"/>
        </w:rPr>
        <w:t>h</w:t>
      </w:r>
      <w:r w:rsidRPr="00CC646C">
        <w:rPr>
          <w:rFonts w:ascii="Times New Roman" w:hAnsi="Times New Roman"/>
          <w:sz w:val="24"/>
          <w:szCs w:val="24"/>
        </w:rPr>
        <w:t xml:space="preserve">orn shark </w:t>
      </w:r>
      <w:r w:rsidRPr="00CC646C">
        <w:rPr>
          <w:rFonts w:ascii="Times New Roman" w:hAnsi="Times New Roman"/>
          <w:i/>
          <w:iCs/>
          <w:sz w:val="24"/>
          <w:szCs w:val="24"/>
        </w:rPr>
        <w:t>(Heterodontus francisci</w:t>
      </w:r>
      <w:r w:rsidRPr="00CC646C">
        <w:rPr>
          <w:rFonts w:ascii="Times New Roman" w:hAnsi="Times New Roman"/>
          <w:sz w:val="24"/>
          <w:szCs w:val="24"/>
        </w:rPr>
        <w:t xml:space="preserve">), </w:t>
      </w:r>
      <w:r>
        <w:rPr>
          <w:rFonts w:ascii="Times New Roman" w:hAnsi="Times New Roman"/>
          <w:sz w:val="24"/>
          <w:szCs w:val="24"/>
        </w:rPr>
        <w:t>y</w:t>
      </w:r>
      <w:r w:rsidRPr="00CC646C">
        <w:rPr>
          <w:rFonts w:ascii="Times New Roman" w:hAnsi="Times New Roman"/>
          <w:sz w:val="24"/>
          <w:szCs w:val="24"/>
        </w:rPr>
        <w:t xml:space="preserve">ellowtail amberjack </w:t>
      </w:r>
      <w:r w:rsidRPr="00CC646C">
        <w:rPr>
          <w:rFonts w:ascii="Times New Roman" w:hAnsi="Times New Roman"/>
          <w:i/>
          <w:iCs/>
          <w:sz w:val="24"/>
          <w:szCs w:val="24"/>
        </w:rPr>
        <w:t>(Seriola lalandi</w:t>
      </w:r>
      <w:r w:rsidRPr="00CC646C">
        <w:rPr>
          <w:rFonts w:ascii="Times New Roman" w:hAnsi="Times New Roman"/>
          <w:sz w:val="24"/>
          <w:szCs w:val="24"/>
        </w:rPr>
        <w:t xml:space="preserve">), </w:t>
      </w:r>
      <w:r>
        <w:rPr>
          <w:rFonts w:ascii="Times New Roman" w:hAnsi="Times New Roman"/>
          <w:sz w:val="24"/>
          <w:szCs w:val="24"/>
        </w:rPr>
        <w:t>r</w:t>
      </w:r>
      <w:r w:rsidRPr="00CC646C">
        <w:rPr>
          <w:rFonts w:ascii="Times New Roman" w:hAnsi="Times New Roman"/>
          <w:sz w:val="24"/>
          <w:szCs w:val="24"/>
        </w:rPr>
        <w:t xml:space="preserve">ainbow scorpionfish </w:t>
      </w:r>
      <w:r w:rsidRPr="00CC646C">
        <w:rPr>
          <w:rFonts w:ascii="Times New Roman" w:hAnsi="Times New Roman"/>
          <w:i/>
          <w:iCs/>
          <w:sz w:val="24"/>
          <w:szCs w:val="24"/>
        </w:rPr>
        <w:t>(Scorpaenodes xyris</w:t>
      </w:r>
      <w:r w:rsidRPr="00CC646C">
        <w:rPr>
          <w:rFonts w:ascii="Times New Roman" w:hAnsi="Times New Roman"/>
          <w:sz w:val="24"/>
          <w:szCs w:val="24"/>
        </w:rPr>
        <w:t xml:space="preserve">), </w:t>
      </w:r>
      <w:r>
        <w:rPr>
          <w:rFonts w:ascii="Times New Roman" w:hAnsi="Times New Roman"/>
          <w:sz w:val="24"/>
          <w:szCs w:val="24"/>
        </w:rPr>
        <w:t>r</w:t>
      </w:r>
      <w:r w:rsidRPr="00CC646C">
        <w:rPr>
          <w:rFonts w:ascii="Times New Roman" w:hAnsi="Times New Roman"/>
          <w:sz w:val="24"/>
          <w:szCs w:val="24"/>
        </w:rPr>
        <w:t xml:space="preserve">eef finspot </w:t>
      </w:r>
      <w:r w:rsidRPr="00CC646C">
        <w:rPr>
          <w:rFonts w:ascii="Times New Roman" w:hAnsi="Times New Roman"/>
          <w:i/>
          <w:iCs/>
          <w:sz w:val="24"/>
          <w:szCs w:val="24"/>
        </w:rPr>
        <w:t>(Paraclinus integripinnis</w:t>
      </w:r>
      <w:r w:rsidRPr="00CC646C">
        <w:rPr>
          <w:rFonts w:ascii="Times New Roman" w:hAnsi="Times New Roman"/>
          <w:sz w:val="24"/>
          <w:szCs w:val="24"/>
        </w:rPr>
        <w:t xml:space="preserve">), and eels (Anguilliformes and </w:t>
      </w:r>
      <w:r w:rsidRPr="00CC646C">
        <w:rPr>
          <w:rFonts w:ascii="Times New Roman" w:hAnsi="Times New Roman"/>
          <w:i/>
          <w:iCs/>
          <w:sz w:val="24"/>
          <w:szCs w:val="24"/>
        </w:rPr>
        <w:lastRenderedPageBreak/>
        <w:t xml:space="preserve">Facciolella </w:t>
      </w:r>
      <w:proofErr w:type="spellStart"/>
      <w:r w:rsidRPr="00CC646C">
        <w:rPr>
          <w:rFonts w:ascii="Times New Roman" w:hAnsi="Times New Roman"/>
          <w:i/>
          <w:iCs/>
          <w:sz w:val="24"/>
          <w:szCs w:val="24"/>
        </w:rPr>
        <w:t>gilbertii</w:t>
      </w:r>
      <w:proofErr w:type="spellEnd"/>
      <w:r w:rsidRPr="00CC646C">
        <w:rPr>
          <w:rFonts w:ascii="Times New Roman" w:hAnsi="Times New Roman"/>
          <w:sz w:val="24"/>
          <w:szCs w:val="24"/>
        </w:rPr>
        <w:t xml:space="preserve">) (Supplemental Table 4). The unique species found at the edge site were the </w:t>
      </w:r>
      <w:r>
        <w:rPr>
          <w:rFonts w:ascii="Times New Roman" w:hAnsi="Times New Roman"/>
          <w:sz w:val="24"/>
          <w:szCs w:val="24"/>
        </w:rPr>
        <w:t>i</w:t>
      </w:r>
      <w:r w:rsidRPr="00CC646C">
        <w:rPr>
          <w:rFonts w:ascii="Times New Roman" w:hAnsi="Times New Roman"/>
          <w:sz w:val="24"/>
          <w:szCs w:val="24"/>
        </w:rPr>
        <w:t xml:space="preserve">sland kelpfish </w:t>
      </w:r>
      <w:r w:rsidRPr="00CC646C">
        <w:rPr>
          <w:rFonts w:ascii="Times New Roman" w:hAnsi="Times New Roman"/>
          <w:i/>
          <w:iCs/>
          <w:sz w:val="24"/>
          <w:szCs w:val="24"/>
        </w:rPr>
        <w:t>(Alloclinus holderi</w:t>
      </w:r>
      <w:r w:rsidRPr="00CC646C">
        <w:rPr>
          <w:rFonts w:ascii="Times New Roman" w:hAnsi="Times New Roman"/>
          <w:iCs/>
          <w:sz w:val="24"/>
          <w:szCs w:val="24"/>
        </w:rPr>
        <w:t xml:space="preserve">) and the </w:t>
      </w:r>
      <w:r>
        <w:rPr>
          <w:rFonts w:ascii="Times New Roman" w:hAnsi="Times New Roman"/>
          <w:iCs/>
          <w:sz w:val="24"/>
          <w:szCs w:val="24"/>
        </w:rPr>
        <w:t>r</w:t>
      </w:r>
      <w:r w:rsidRPr="00CC646C">
        <w:rPr>
          <w:rFonts w:ascii="Times New Roman" w:hAnsi="Times New Roman"/>
          <w:iCs/>
          <w:sz w:val="24"/>
          <w:szCs w:val="24"/>
        </w:rPr>
        <w:t xml:space="preserve">oughback sculpin </w:t>
      </w:r>
      <w:r w:rsidRPr="00CC646C">
        <w:rPr>
          <w:rFonts w:ascii="Times New Roman" w:hAnsi="Times New Roman"/>
          <w:i/>
          <w:sz w:val="24"/>
          <w:szCs w:val="24"/>
        </w:rPr>
        <w:t>(Chitonotus pugetensis</w:t>
      </w:r>
      <w:r w:rsidRPr="00CC646C">
        <w:rPr>
          <w:rFonts w:ascii="Times New Roman" w:hAnsi="Times New Roman"/>
          <w:iCs/>
          <w:sz w:val="24"/>
          <w:szCs w:val="24"/>
        </w:rPr>
        <w:t xml:space="preserve">) </w:t>
      </w:r>
      <w:r w:rsidRPr="004F3A92">
        <w:rPr>
          <w:rFonts w:ascii="Times New Roman" w:hAnsi="Times New Roman"/>
          <w:iCs/>
          <w:sz w:val="24"/>
          <w:szCs w:val="24"/>
        </w:rPr>
        <w:t>(</w:t>
      </w:r>
      <w:r w:rsidRPr="00CC646C">
        <w:rPr>
          <w:rFonts w:ascii="Times New Roman" w:hAnsi="Times New Roman"/>
          <w:sz w:val="24"/>
          <w:szCs w:val="24"/>
        </w:rPr>
        <w:t>Supplemental Table 4).</w:t>
      </w:r>
      <w:r w:rsidRPr="00CC646C">
        <w:rPr>
          <w:rFonts w:ascii="Times New Roman" w:hAnsi="Times New Roman"/>
          <w:i/>
          <w:sz w:val="24"/>
          <w:szCs w:val="24"/>
        </w:rPr>
        <w:t xml:space="preserve"> </w:t>
      </w:r>
      <w:r w:rsidRPr="00CC646C">
        <w:rPr>
          <w:rFonts w:ascii="Times New Roman" w:hAnsi="Times New Roman"/>
          <w:sz w:val="24"/>
          <w:szCs w:val="24"/>
        </w:rPr>
        <w:t xml:space="preserve">The species shared between the two sites outside the MPA were </w:t>
      </w:r>
      <w:r>
        <w:rPr>
          <w:rFonts w:ascii="Times New Roman" w:hAnsi="Times New Roman"/>
          <w:sz w:val="24"/>
          <w:szCs w:val="24"/>
        </w:rPr>
        <w:t>p</w:t>
      </w:r>
      <w:r w:rsidRPr="00CC646C">
        <w:rPr>
          <w:rFonts w:ascii="Times New Roman" w:hAnsi="Times New Roman"/>
          <w:sz w:val="24"/>
          <w:szCs w:val="24"/>
        </w:rPr>
        <w:t>ainted greenling (</w:t>
      </w:r>
      <w:r w:rsidRPr="00CC646C">
        <w:rPr>
          <w:rFonts w:ascii="Times New Roman" w:hAnsi="Times New Roman"/>
          <w:i/>
          <w:sz w:val="24"/>
          <w:szCs w:val="24"/>
        </w:rPr>
        <w:t>Oxylebius pictus</w:t>
      </w:r>
      <w:r w:rsidRPr="00CC646C">
        <w:rPr>
          <w:rFonts w:ascii="Times New Roman" w:hAnsi="Times New Roman"/>
          <w:sz w:val="24"/>
          <w:szCs w:val="24"/>
        </w:rPr>
        <w:t xml:space="preserve">), </w:t>
      </w:r>
      <w:proofErr w:type="spellStart"/>
      <w:r>
        <w:rPr>
          <w:rFonts w:ascii="Times New Roman" w:hAnsi="Times New Roman"/>
          <w:sz w:val="24"/>
          <w:szCs w:val="24"/>
        </w:rPr>
        <w:t>b</w:t>
      </w:r>
      <w:r w:rsidRPr="00CC646C">
        <w:rPr>
          <w:rFonts w:ascii="Times New Roman" w:hAnsi="Times New Roman"/>
          <w:sz w:val="24"/>
          <w:szCs w:val="24"/>
        </w:rPr>
        <w:t>lackeyed</w:t>
      </w:r>
      <w:proofErr w:type="spellEnd"/>
      <w:r w:rsidRPr="00CC646C">
        <w:rPr>
          <w:rFonts w:ascii="Times New Roman" w:hAnsi="Times New Roman"/>
          <w:sz w:val="24"/>
          <w:szCs w:val="24"/>
        </w:rPr>
        <w:t xml:space="preserve"> goby (</w:t>
      </w:r>
      <w:r w:rsidRPr="00CC646C">
        <w:rPr>
          <w:rFonts w:ascii="Times New Roman" w:hAnsi="Times New Roman"/>
          <w:i/>
          <w:iCs/>
          <w:sz w:val="24"/>
          <w:szCs w:val="24"/>
        </w:rPr>
        <w:t>Rhinogobips nicholsii</w:t>
      </w:r>
      <w:r w:rsidRPr="00CC646C">
        <w:rPr>
          <w:rFonts w:ascii="Times New Roman" w:hAnsi="Times New Roman"/>
          <w:sz w:val="24"/>
          <w:szCs w:val="24"/>
        </w:rPr>
        <w:t xml:space="preserve">), </w:t>
      </w:r>
      <w:r>
        <w:rPr>
          <w:rFonts w:ascii="Times New Roman" w:hAnsi="Times New Roman"/>
          <w:sz w:val="24"/>
          <w:szCs w:val="24"/>
        </w:rPr>
        <w:t>f</w:t>
      </w:r>
      <w:r w:rsidRPr="00CC646C">
        <w:rPr>
          <w:rFonts w:ascii="Times New Roman" w:hAnsi="Times New Roman"/>
          <w:sz w:val="24"/>
          <w:szCs w:val="24"/>
        </w:rPr>
        <w:t>ine-scaled triggerfish (</w:t>
      </w:r>
      <w:r w:rsidRPr="00CC646C">
        <w:rPr>
          <w:rFonts w:ascii="Times New Roman" w:hAnsi="Times New Roman"/>
          <w:i/>
          <w:iCs/>
          <w:sz w:val="24"/>
          <w:szCs w:val="24"/>
        </w:rPr>
        <w:t>Balistes polylepis</w:t>
      </w:r>
      <w:r w:rsidRPr="00CC646C">
        <w:rPr>
          <w:rFonts w:ascii="Times New Roman" w:hAnsi="Times New Roman"/>
          <w:sz w:val="24"/>
          <w:szCs w:val="24"/>
        </w:rPr>
        <w:t xml:space="preserve">), </w:t>
      </w:r>
      <w:r>
        <w:rPr>
          <w:rFonts w:ascii="Times New Roman" w:hAnsi="Times New Roman"/>
          <w:sz w:val="24"/>
          <w:szCs w:val="24"/>
        </w:rPr>
        <w:t>s</w:t>
      </w:r>
      <w:r w:rsidRPr="00CC646C">
        <w:rPr>
          <w:rFonts w:ascii="Times New Roman" w:hAnsi="Times New Roman"/>
          <w:sz w:val="24"/>
          <w:szCs w:val="24"/>
        </w:rPr>
        <w:t>peckled sanddab (</w:t>
      </w:r>
      <w:r w:rsidRPr="00CC646C">
        <w:rPr>
          <w:rFonts w:ascii="Times New Roman" w:hAnsi="Times New Roman"/>
          <w:i/>
          <w:iCs/>
          <w:sz w:val="24"/>
          <w:szCs w:val="24"/>
        </w:rPr>
        <w:t>Citharichthys stigmaeus</w:t>
      </w:r>
      <w:r w:rsidRPr="00CC646C">
        <w:rPr>
          <w:rFonts w:ascii="Times New Roman" w:hAnsi="Times New Roman"/>
          <w:sz w:val="24"/>
          <w:szCs w:val="24"/>
        </w:rPr>
        <w:t xml:space="preserve">), </w:t>
      </w:r>
      <w:r>
        <w:rPr>
          <w:rFonts w:ascii="Times New Roman" w:hAnsi="Times New Roman"/>
          <w:sz w:val="24"/>
          <w:szCs w:val="24"/>
        </w:rPr>
        <w:t>m</w:t>
      </w:r>
      <w:r w:rsidRPr="00CC646C">
        <w:rPr>
          <w:rFonts w:ascii="Times New Roman" w:hAnsi="Times New Roman"/>
          <w:sz w:val="24"/>
          <w:szCs w:val="24"/>
        </w:rPr>
        <w:t>ussel blenny (</w:t>
      </w:r>
      <w:r w:rsidRPr="00CC646C">
        <w:rPr>
          <w:rFonts w:ascii="Times New Roman" w:hAnsi="Times New Roman"/>
          <w:i/>
          <w:iCs/>
          <w:sz w:val="24"/>
          <w:szCs w:val="24"/>
        </w:rPr>
        <w:t>Hypsoblennisu jenkinsi</w:t>
      </w:r>
      <w:r w:rsidRPr="00CC646C">
        <w:rPr>
          <w:rFonts w:ascii="Times New Roman" w:hAnsi="Times New Roman"/>
          <w:iCs/>
          <w:sz w:val="24"/>
          <w:szCs w:val="24"/>
        </w:rPr>
        <w:t xml:space="preserve">), and </w:t>
      </w:r>
      <w:r>
        <w:rPr>
          <w:rFonts w:ascii="Times New Roman" w:hAnsi="Times New Roman"/>
          <w:iCs/>
          <w:sz w:val="24"/>
          <w:szCs w:val="24"/>
        </w:rPr>
        <w:t>c</w:t>
      </w:r>
      <w:r w:rsidRPr="00CC646C">
        <w:rPr>
          <w:rFonts w:ascii="Times New Roman" w:hAnsi="Times New Roman"/>
          <w:iCs/>
          <w:sz w:val="24"/>
          <w:szCs w:val="24"/>
        </w:rPr>
        <w:t>revice kelpfish (</w:t>
      </w:r>
      <w:r w:rsidRPr="00CC646C">
        <w:rPr>
          <w:rFonts w:ascii="Times New Roman" w:hAnsi="Times New Roman"/>
          <w:i/>
          <w:sz w:val="24"/>
          <w:szCs w:val="24"/>
        </w:rPr>
        <w:t>Gibbonsia montereyensis</w:t>
      </w:r>
      <w:r w:rsidRPr="00CC646C">
        <w:rPr>
          <w:rFonts w:ascii="Times New Roman" w:hAnsi="Times New Roman"/>
          <w:iCs/>
          <w:sz w:val="24"/>
          <w:szCs w:val="24"/>
        </w:rPr>
        <w:t xml:space="preserve">) </w:t>
      </w:r>
      <w:r w:rsidRPr="00CC646C">
        <w:rPr>
          <w:rFonts w:ascii="Times New Roman" w:hAnsi="Times New Roman"/>
          <w:sz w:val="24"/>
          <w:szCs w:val="24"/>
        </w:rPr>
        <w:t>(Supplemental Table 4). The unique species found at the MPA site included the California scorpionfish (</w:t>
      </w:r>
      <w:r w:rsidRPr="00CC646C">
        <w:rPr>
          <w:rFonts w:ascii="Times New Roman" w:hAnsi="Times New Roman"/>
          <w:i/>
          <w:iCs/>
          <w:sz w:val="24"/>
          <w:szCs w:val="24"/>
        </w:rPr>
        <w:t>Scorpaena guttata</w:t>
      </w:r>
      <w:r w:rsidRPr="00CC646C">
        <w:rPr>
          <w:rFonts w:ascii="Times New Roman" w:hAnsi="Times New Roman"/>
          <w:sz w:val="24"/>
          <w:szCs w:val="24"/>
        </w:rPr>
        <w:t xml:space="preserve">), the </w:t>
      </w:r>
      <w:proofErr w:type="spellStart"/>
      <w:r>
        <w:rPr>
          <w:rFonts w:ascii="Times New Roman" w:hAnsi="Times New Roman"/>
          <w:sz w:val="24"/>
          <w:szCs w:val="24"/>
        </w:rPr>
        <w:t>o</w:t>
      </w:r>
      <w:r w:rsidRPr="00CC646C">
        <w:rPr>
          <w:rFonts w:ascii="Times New Roman" w:hAnsi="Times New Roman"/>
          <w:sz w:val="24"/>
          <w:szCs w:val="24"/>
        </w:rPr>
        <w:t>rangethroat</w:t>
      </w:r>
      <w:proofErr w:type="spellEnd"/>
      <w:r w:rsidRPr="00CC646C">
        <w:rPr>
          <w:rFonts w:ascii="Times New Roman" w:hAnsi="Times New Roman"/>
          <w:sz w:val="24"/>
          <w:szCs w:val="24"/>
        </w:rPr>
        <w:t xml:space="preserve"> pikeblenny (</w:t>
      </w:r>
      <w:r w:rsidRPr="00CC646C">
        <w:rPr>
          <w:rFonts w:ascii="Times New Roman" w:hAnsi="Times New Roman"/>
          <w:i/>
          <w:iCs/>
          <w:sz w:val="24"/>
          <w:szCs w:val="24"/>
        </w:rPr>
        <w:t>Chaenopsis alepidota</w:t>
      </w:r>
      <w:r w:rsidRPr="00CC646C">
        <w:rPr>
          <w:rFonts w:ascii="Times New Roman" w:hAnsi="Times New Roman"/>
          <w:sz w:val="24"/>
          <w:szCs w:val="24"/>
        </w:rPr>
        <w:t xml:space="preserve">), the </w:t>
      </w:r>
      <w:r>
        <w:rPr>
          <w:rFonts w:ascii="Times New Roman" w:hAnsi="Times New Roman"/>
          <w:sz w:val="24"/>
          <w:szCs w:val="24"/>
        </w:rPr>
        <w:t>s</w:t>
      </w:r>
      <w:r w:rsidRPr="00CC646C">
        <w:rPr>
          <w:rFonts w:ascii="Times New Roman" w:hAnsi="Times New Roman"/>
          <w:sz w:val="24"/>
          <w:szCs w:val="24"/>
        </w:rPr>
        <w:t>arcastic fringehead (</w:t>
      </w:r>
      <w:r w:rsidRPr="00CC646C">
        <w:rPr>
          <w:rFonts w:ascii="Times New Roman" w:hAnsi="Times New Roman"/>
          <w:i/>
          <w:iCs/>
          <w:sz w:val="24"/>
          <w:szCs w:val="24"/>
        </w:rPr>
        <w:t>Neoclinus blanchardi</w:t>
      </w:r>
      <w:r w:rsidRPr="00CC646C">
        <w:rPr>
          <w:rFonts w:ascii="Times New Roman" w:hAnsi="Times New Roman"/>
          <w:sz w:val="24"/>
          <w:szCs w:val="24"/>
        </w:rPr>
        <w:t xml:space="preserve">), </w:t>
      </w:r>
      <w:r>
        <w:rPr>
          <w:rFonts w:ascii="Times New Roman" w:hAnsi="Times New Roman"/>
          <w:sz w:val="24"/>
          <w:szCs w:val="24"/>
        </w:rPr>
        <w:t>s</w:t>
      </w:r>
      <w:r w:rsidRPr="00CC646C">
        <w:rPr>
          <w:rFonts w:ascii="Times New Roman" w:hAnsi="Times New Roman"/>
          <w:sz w:val="24"/>
          <w:szCs w:val="24"/>
        </w:rPr>
        <w:t>potted cusk eel (</w:t>
      </w:r>
      <w:r w:rsidRPr="00CC646C">
        <w:rPr>
          <w:rFonts w:ascii="Times New Roman" w:hAnsi="Times New Roman"/>
          <w:i/>
          <w:iCs/>
          <w:sz w:val="24"/>
          <w:szCs w:val="24"/>
        </w:rPr>
        <w:t>Chilara taylori</w:t>
      </w:r>
      <w:r w:rsidRPr="00CC646C">
        <w:rPr>
          <w:rFonts w:ascii="Times New Roman" w:hAnsi="Times New Roman"/>
          <w:sz w:val="24"/>
          <w:szCs w:val="24"/>
        </w:rPr>
        <w:t>), and the California lizardfish (</w:t>
      </w:r>
      <w:r w:rsidRPr="00CC646C">
        <w:rPr>
          <w:rFonts w:ascii="Times New Roman" w:hAnsi="Times New Roman"/>
          <w:i/>
          <w:iCs/>
          <w:sz w:val="24"/>
          <w:szCs w:val="24"/>
        </w:rPr>
        <w:t>Synodus lucioceps</w:t>
      </w:r>
      <w:r w:rsidRPr="00CC646C">
        <w:rPr>
          <w:rFonts w:ascii="Times New Roman" w:hAnsi="Times New Roman"/>
          <w:sz w:val="24"/>
          <w:szCs w:val="24"/>
        </w:rPr>
        <w:t xml:space="preserve">). The edge and MPA sites shared one species: the </w:t>
      </w:r>
      <w:r>
        <w:rPr>
          <w:rFonts w:ascii="Times New Roman" w:hAnsi="Times New Roman"/>
          <w:sz w:val="24"/>
          <w:szCs w:val="24"/>
        </w:rPr>
        <w:t>f</w:t>
      </w:r>
      <w:r w:rsidRPr="00CC646C">
        <w:rPr>
          <w:rFonts w:ascii="Times New Roman" w:hAnsi="Times New Roman"/>
          <w:sz w:val="24"/>
          <w:szCs w:val="24"/>
        </w:rPr>
        <w:t>antail flounder (</w:t>
      </w:r>
      <w:r w:rsidRPr="00CC646C">
        <w:rPr>
          <w:rFonts w:ascii="Times New Roman" w:hAnsi="Times New Roman"/>
          <w:i/>
          <w:iCs/>
          <w:sz w:val="24"/>
          <w:szCs w:val="24"/>
        </w:rPr>
        <w:t>Xystreurys liolepis</w:t>
      </w:r>
      <w:r w:rsidRPr="00CC646C">
        <w:rPr>
          <w:rFonts w:ascii="Times New Roman" w:hAnsi="Times New Roman"/>
          <w:sz w:val="24"/>
          <w:szCs w:val="24"/>
        </w:rPr>
        <w:t>). The outside and MPA sites shared three species kelp perch (</w:t>
      </w:r>
      <w:r w:rsidRPr="00CC646C">
        <w:rPr>
          <w:rFonts w:ascii="Times New Roman" w:hAnsi="Times New Roman"/>
          <w:i/>
          <w:sz w:val="24"/>
          <w:szCs w:val="24"/>
        </w:rPr>
        <w:t>Brachyistius frenatus)</w:t>
      </w:r>
      <w:r w:rsidRPr="00CC646C">
        <w:rPr>
          <w:rFonts w:ascii="Times New Roman" w:hAnsi="Times New Roman"/>
          <w:sz w:val="24"/>
          <w:szCs w:val="24"/>
        </w:rPr>
        <w:t xml:space="preserve">, </w:t>
      </w:r>
      <w:proofErr w:type="spellStart"/>
      <w:r>
        <w:rPr>
          <w:rFonts w:ascii="Times New Roman" w:hAnsi="Times New Roman"/>
          <w:sz w:val="24"/>
          <w:szCs w:val="24"/>
        </w:rPr>
        <w:t>r</w:t>
      </w:r>
      <w:r w:rsidRPr="00CC646C">
        <w:rPr>
          <w:rFonts w:ascii="Times New Roman" w:hAnsi="Times New Roman"/>
          <w:sz w:val="24"/>
          <w:szCs w:val="24"/>
        </w:rPr>
        <w:t>ubberlip</w:t>
      </w:r>
      <w:proofErr w:type="spellEnd"/>
      <w:r w:rsidRPr="00CC646C">
        <w:rPr>
          <w:rFonts w:ascii="Times New Roman" w:hAnsi="Times New Roman"/>
          <w:sz w:val="24"/>
          <w:szCs w:val="24"/>
        </w:rPr>
        <w:t xml:space="preserve"> surfperch </w:t>
      </w:r>
      <w:r w:rsidRPr="00CC646C">
        <w:rPr>
          <w:rFonts w:ascii="Times New Roman" w:hAnsi="Times New Roman"/>
          <w:i/>
          <w:iCs/>
          <w:sz w:val="24"/>
          <w:szCs w:val="24"/>
        </w:rPr>
        <w:t>(Rhacodactylus toxotes</w:t>
      </w:r>
      <w:r w:rsidRPr="00CC646C">
        <w:rPr>
          <w:rFonts w:ascii="Times New Roman" w:hAnsi="Times New Roman"/>
          <w:sz w:val="24"/>
          <w:szCs w:val="24"/>
        </w:rPr>
        <w:t xml:space="preserve">), the </w:t>
      </w:r>
      <w:proofErr w:type="spellStart"/>
      <w:r>
        <w:rPr>
          <w:rFonts w:ascii="Times New Roman" w:hAnsi="Times New Roman"/>
          <w:sz w:val="24"/>
          <w:szCs w:val="24"/>
        </w:rPr>
        <w:t>r</w:t>
      </w:r>
      <w:r w:rsidRPr="00CC646C">
        <w:rPr>
          <w:rFonts w:ascii="Times New Roman" w:hAnsi="Times New Roman"/>
          <w:sz w:val="24"/>
          <w:szCs w:val="24"/>
        </w:rPr>
        <w:t>oughcheek</w:t>
      </w:r>
      <w:proofErr w:type="spellEnd"/>
      <w:r w:rsidRPr="00CC646C">
        <w:rPr>
          <w:rFonts w:ascii="Times New Roman" w:hAnsi="Times New Roman"/>
          <w:sz w:val="24"/>
          <w:szCs w:val="24"/>
        </w:rPr>
        <w:t xml:space="preserve"> sculpin </w:t>
      </w:r>
      <w:r w:rsidRPr="00CC646C">
        <w:rPr>
          <w:rFonts w:ascii="Times New Roman" w:hAnsi="Times New Roman"/>
          <w:i/>
          <w:iCs/>
          <w:sz w:val="24"/>
          <w:szCs w:val="24"/>
        </w:rPr>
        <w:t>(Ruscarius creaseri</w:t>
      </w:r>
      <w:r w:rsidRPr="00CC646C">
        <w:rPr>
          <w:rFonts w:ascii="Times New Roman" w:hAnsi="Times New Roman"/>
          <w:sz w:val="24"/>
          <w:szCs w:val="24"/>
        </w:rPr>
        <w:t>), and the C-O sole (</w:t>
      </w:r>
      <w:r w:rsidRPr="00CC646C">
        <w:rPr>
          <w:rFonts w:ascii="Times New Roman" w:hAnsi="Times New Roman"/>
          <w:i/>
          <w:iCs/>
          <w:sz w:val="24"/>
          <w:szCs w:val="24"/>
        </w:rPr>
        <w:t>Pleuronichthys coenosus</w:t>
      </w:r>
      <w:r w:rsidRPr="00CC646C">
        <w:rPr>
          <w:rFonts w:ascii="Times New Roman" w:hAnsi="Times New Roman"/>
          <w:sz w:val="24"/>
          <w:szCs w:val="24"/>
        </w:rPr>
        <w:t xml:space="preserve">) </w:t>
      </w:r>
      <w:r w:rsidRPr="00CC646C">
        <w:rPr>
          <w:rFonts w:ascii="Times New Roman" w:hAnsi="Times New Roman"/>
          <w:i/>
          <w:iCs/>
          <w:sz w:val="24"/>
          <w:szCs w:val="24"/>
        </w:rPr>
        <w:t>(</w:t>
      </w:r>
      <w:r w:rsidRPr="00CC646C">
        <w:rPr>
          <w:rFonts w:ascii="Times New Roman" w:hAnsi="Times New Roman"/>
          <w:sz w:val="24"/>
          <w:szCs w:val="24"/>
        </w:rPr>
        <w:t>Supplemental Table 4).</w:t>
      </w:r>
    </w:p>
    <w:p w:rsidR="007773B0" w:rsidRDefault="007773B0" w:rsidP="00333B62">
      <w:pPr>
        <w:widowControl w:val="0"/>
        <w:autoSpaceDE w:val="0"/>
        <w:autoSpaceDN w:val="0"/>
        <w:adjustRightInd w:val="0"/>
        <w:spacing w:after="240" w:line="480" w:lineRule="auto"/>
        <w:ind w:left="480" w:hanging="480"/>
        <w:rPr>
          <w:rFonts w:eastAsia="SimSun"/>
          <w:szCs w:val="24"/>
        </w:rPr>
      </w:pPr>
    </w:p>
    <w:p w:rsidR="00333B62" w:rsidRDefault="00333B62" w:rsidP="00333B62">
      <w:pPr>
        <w:widowControl w:val="0"/>
        <w:autoSpaceDE w:val="0"/>
        <w:autoSpaceDN w:val="0"/>
        <w:adjustRightInd w:val="0"/>
        <w:spacing w:after="240" w:line="480" w:lineRule="auto"/>
        <w:ind w:left="480" w:hanging="480"/>
        <w:rPr>
          <w:rFonts w:eastAsia="SimSun"/>
          <w:szCs w:val="24"/>
        </w:rPr>
      </w:pPr>
    </w:p>
    <w:p w:rsidR="00333B62" w:rsidRDefault="00333B62" w:rsidP="00333B62">
      <w:pPr>
        <w:pStyle w:val="MDPI61Supplementary"/>
        <w:spacing w:line="480" w:lineRule="auto"/>
        <w:jc w:val="left"/>
        <w:rPr>
          <w:rFonts w:ascii="Times New Roman" w:hAnsi="Times New Roman"/>
          <w:sz w:val="24"/>
          <w:szCs w:val="24"/>
        </w:rPr>
      </w:pPr>
      <w:r w:rsidRPr="00CC646C">
        <w:rPr>
          <w:rFonts w:ascii="Times New Roman" w:hAnsi="Times New Roman"/>
          <w:b/>
          <w:sz w:val="24"/>
          <w:szCs w:val="24"/>
        </w:rPr>
        <w:t xml:space="preserve">Supplementary </w:t>
      </w:r>
      <w:r>
        <w:rPr>
          <w:rFonts w:ascii="Times New Roman" w:hAnsi="Times New Roman"/>
          <w:b/>
          <w:sz w:val="24"/>
          <w:szCs w:val="24"/>
        </w:rPr>
        <w:t>Tables</w:t>
      </w:r>
    </w:p>
    <w:p w:rsidR="00333B62" w:rsidRDefault="00333B62" w:rsidP="00333B62">
      <w:pPr>
        <w:pStyle w:val="MDPI61Supplementary"/>
        <w:spacing w:line="480" w:lineRule="auto"/>
        <w:jc w:val="left"/>
        <w:rPr>
          <w:rFonts w:ascii="Times New Roman" w:hAnsi="Times New Roman"/>
          <w:sz w:val="24"/>
          <w:szCs w:val="24"/>
        </w:rPr>
      </w:pPr>
      <w:r w:rsidRPr="00CC646C">
        <w:rPr>
          <w:rFonts w:ascii="Times New Roman" w:hAnsi="Times New Roman"/>
          <w:sz w:val="24"/>
          <w:szCs w:val="24"/>
        </w:rPr>
        <w:t>Table S1: Taxonomy Table After Decontamination and Site Occupancy Modeling Using California Fish Reference Barcodes</w:t>
      </w:r>
    </w:p>
    <w:p w:rsidR="00333B62" w:rsidRDefault="00333B62" w:rsidP="00333B62">
      <w:pPr>
        <w:pStyle w:val="MDPI61Supplementary"/>
        <w:spacing w:line="480" w:lineRule="auto"/>
        <w:jc w:val="left"/>
        <w:rPr>
          <w:rFonts w:ascii="Times New Roman" w:hAnsi="Times New Roman"/>
          <w:sz w:val="24"/>
          <w:szCs w:val="24"/>
        </w:rPr>
      </w:pPr>
      <w:r w:rsidRPr="00CC646C">
        <w:rPr>
          <w:rFonts w:ascii="Times New Roman" w:hAnsi="Times New Roman"/>
          <w:sz w:val="24"/>
          <w:szCs w:val="24"/>
        </w:rPr>
        <w:t>Table S2: Taxonomy Table After Decontamination Using California Fish Reference Barcodes</w:t>
      </w:r>
    </w:p>
    <w:p w:rsidR="00333B62" w:rsidRDefault="00333B62" w:rsidP="00333B62">
      <w:pPr>
        <w:pStyle w:val="MDPI61Supplementary"/>
        <w:spacing w:line="480" w:lineRule="auto"/>
        <w:jc w:val="left"/>
        <w:rPr>
          <w:rFonts w:ascii="Times New Roman" w:hAnsi="Times New Roman"/>
          <w:sz w:val="24"/>
          <w:szCs w:val="24"/>
        </w:rPr>
      </w:pPr>
      <w:r w:rsidRPr="00CC646C">
        <w:rPr>
          <w:rFonts w:ascii="Times New Roman" w:hAnsi="Times New Roman"/>
          <w:sz w:val="24"/>
          <w:szCs w:val="24"/>
        </w:rPr>
        <w:t>Table S3: Metadata for eDNA Samples</w:t>
      </w:r>
    </w:p>
    <w:p w:rsidR="00333B62" w:rsidRDefault="00333B62" w:rsidP="00333B62">
      <w:pPr>
        <w:pStyle w:val="MDPI61Supplementary"/>
        <w:spacing w:line="480" w:lineRule="auto"/>
        <w:jc w:val="left"/>
        <w:rPr>
          <w:rFonts w:ascii="Times New Roman" w:hAnsi="Times New Roman"/>
          <w:sz w:val="24"/>
          <w:szCs w:val="24"/>
        </w:rPr>
      </w:pPr>
      <w:r w:rsidRPr="00CC646C">
        <w:rPr>
          <w:rFonts w:ascii="Times New Roman" w:hAnsi="Times New Roman"/>
          <w:sz w:val="24"/>
          <w:szCs w:val="24"/>
        </w:rPr>
        <w:t>Table S4: Summarized Species Table with Site Level Detections</w:t>
      </w:r>
    </w:p>
    <w:p w:rsidR="00333B62" w:rsidRDefault="00333B62" w:rsidP="00333B62">
      <w:pPr>
        <w:pStyle w:val="MDPI61Supplementary"/>
        <w:spacing w:line="480" w:lineRule="auto"/>
        <w:jc w:val="left"/>
        <w:rPr>
          <w:rFonts w:ascii="Times New Roman" w:hAnsi="Times New Roman"/>
          <w:sz w:val="24"/>
          <w:szCs w:val="24"/>
        </w:rPr>
      </w:pPr>
      <w:r w:rsidRPr="00CC646C">
        <w:rPr>
          <w:rFonts w:ascii="Times New Roman" w:hAnsi="Times New Roman"/>
          <w:sz w:val="24"/>
          <w:szCs w:val="24"/>
        </w:rPr>
        <w:lastRenderedPageBreak/>
        <w:t>Table S5: Species Detected with eDNA Metabarcoding and National Park Service Kelp Forest Monitoring Program Underwater Visual Surveys</w:t>
      </w:r>
    </w:p>
    <w:p w:rsidR="00333B62" w:rsidRDefault="00333B62" w:rsidP="00333B62">
      <w:pPr>
        <w:pStyle w:val="MDPI61Supplementary"/>
        <w:spacing w:line="480" w:lineRule="auto"/>
        <w:jc w:val="left"/>
        <w:rPr>
          <w:rFonts w:ascii="Times New Roman" w:hAnsi="Times New Roman"/>
          <w:sz w:val="24"/>
          <w:szCs w:val="24"/>
        </w:rPr>
      </w:pPr>
      <w:r w:rsidRPr="00CC646C">
        <w:rPr>
          <w:rFonts w:ascii="Times New Roman" w:hAnsi="Times New Roman"/>
          <w:sz w:val="24"/>
          <w:szCs w:val="24"/>
        </w:rPr>
        <w:t>Table S6: Underwater Visual Census Species Detections Across All Sites</w:t>
      </w:r>
    </w:p>
    <w:p w:rsidR="00333B62" w:rsidRDefault="00333B62" w:rsidP="00333B62">
      <w:pPr>
        <w:pStyle w:val="MDPI61Supplementary"/>
        <w:spacing w:line="480" w:lineRule="auto"/>
        <w:jc w:val="left"/>
        <w:rPr>
          <w:rFonts w:ascii="Times New Roman" w:hAnsi="Times New Roman"/>
          <w:sz w:val="24"/>
          <w:szCs w:val="24"/>
        </w:rPr>
      </w:pPr>
      <w:r w:rsidRPr="00CC646C">
        <w:rPr>
          <w:rFonts w:ascii="Times New Roman" w:hAnsi="Times New Roman"/>
          <w:sz w:val="24"/>
          <w:szCs w:val="24"/>
        </w:rPr>
        <w:t>Table S7. List of All Species Observed by the Channel Islands National Park Service Kelp Forest Monitoring Program</w:t>
      </w:r>
    </w:p>
    <w:p w:rsidR="00333B62" w:rsidRDefault="00333B62" w:rsidP="00333B62">
      <w:pPr>
        <w:pStyle w:val="MDPI61Supplementary"/>
        <w:spacing w:line="480" w:lineRule="auto"/>
        <w:jc w:val="left"/>
        <w:rPr>
          <w:rFonts w:ascii="Times New Roman" w:hAnsi="Times New Roman"/>
          <w:sz w:val="24"/>
          <w:szCs w:val="24"/>
        </w:rPr>
      </w:pPr>
      <w:r w:rsidRPr="00CC646C">
        <w:rPr>
          <w:rFonts w:ascii="Times New Roman" w:hAnsi="Times New Roman"/>
          <w:sz w:val="24"/>
          <w:szCs w:val="24"/>
        </w:rPr>
        <w:t>Table S8 Taxonomy Table After Decontamination Using All Vertebrate References</w:t>
      </w:r>
    </w:p>
    <w:p w:rsidR="00333B62" w:rsidRDefault="00333B62" w:rsidP="00333B62">
      <w:pPr>
        <w:pStyle w:val="MDPI61Supplementary"/>
        <w:spacing w:line="480" w:lineRule="auto"/>
        <w:jc w:val="left"/>
        <w:rPr>
          <w:rFonts w:ascii="Times New Roman" w:hAnsi="Times New Roman"/>
          <w:sz w:val="24"/>
          <w:szCs w:val="24"/>
        </w:rPr>
      </w:pPr>
      <w:r w:rsidRPr="00CC646C">
        <w:rPr>
          <w:rFonts w:ascii="Times New Roman" w:hAnsi="Times New Roman"/>
          <w:sz w:val="24"/>
          <w:szCs w:val="24"/>
        </w:rPr>
        <w:t>Table S9 Taxonomy Table After Decontamination and Site Occupancy Modeling Using All Vertebrate References</w:t>
      </w:r>
    </w:p>
    <w:p w:rsidR="00333B62" w:rsidRDefault="00333B62" w:rsidP="00333B62">
      <w:pPr>
        <w:pStyle w:val="MDPI61Supplementary"/>
        <w:spacing w:line="480" w:lineRule="auto"/>
        <w:jc w:val="left"/>
        <w:rPr>
          <w:rFonts w:ascii="Times New Roman" w:hAnsi="Times New Roman"/>
          <w:sz w:val="24"/>
          <w:szCs w:val="24"/>
        </w:rPr>
      </w:pPr>
      <w:r w:rsidRPr="00CC646C">
        <w:rPr>
          <w:rFonts w:ascii="Times New Roman" w:hAnsi="Times New Roman"/>
          <w:sz w:val="24"/>
          <w:szCs w:val="24"/>
        </w:rPr>
        <w:t>Table S10 Budget Estimate of eDNA Metabarcode Sampling</w:t>
      </w:r>
    </w:p>
    <w:p w:rsidR="00333B62" w:rsidRPr="00CC646C" w:rsidRDefault="00333B62" w:rsidP="00333B62">
      <w:pPr>
        <w:pStyle w:val="MDPI61Supplementary"/>
        <w:spacing w:line="480" w:lineRule="auto"/>
        <w:jc w:val="left"/>
        <w:rPr>
          <w:rFonts w:ascii="Times New Roman" w:hAnsi="Times New Roman"/>
          <w:sz w:val="24"/>
          <w:szCs w:val="24"/>
        </w:rPr>
      </w:pPr>
      <w:r w:rsidRPr="00CC646C">
        <w:rPr>
          <w:rFonts w:ascii="Times New Roman" w:hAnsi="Times New Roman"/>
          <w:sz w:val="24"/>
          <w:szCs w:val="24"/>
        </w:rPr>
        <w:t>Table S11 Budget Estimate of eDNA Metabarcode Sampling</w:t>
      </w:r>
    </w:p>
    <w:p w:rsidR="00333B62" w:rsidRDefault="00333B62" w:rsidP="00333B62">
      <w:pPr>
        <w:widowControl w:val="0"/>
        <w:autoSpaceDE w:val="0"/>
        <w:autoSpaceDN w:val="0"/>
        <w:adjustRightInd w:val="0"/>
        <w:spacing w:after="240" w:line="480" w:lineRule="auto"/>
        <w:ind w:left="480" w:hanging="480"/>
        <w:rPr>
          <w:rFonts w:eastAsia="SimSun"/>
          <w:szCs w:val="24"/>
        </w:rPr>
      </w:pPr>
    </w:p>
    <w:p w:rsidR="00333B62" w:rsidRDefault="00333B62" w:rsidP="00333B62">
      <w:pPr>
        <w:pStyle w:val="MDPI61Supplementary"/>
        <w:spacing w:line="480" w:lineRule="auto"/>
        <w:jc w:val="left"/>
        <w:rPr>
          <w:rFonts w:ascii="Times New Roman" w:hAnsi="Times New Roman"/>
          <w:sz w:val="24"/>
          <w:szCs w:val="24"/>
        </w:rPr>
      </w:pPr>
      <w:r w:rsidRPr="00CC646C">
        <w:rPr>
          <w:rFonts w:ascii="Times New Roman" w:hAnsi="Times New Roman"/>
          <w:b/>
          <w:sz w:val="24"/>
          <w:szCs w:val="24"/>
        </w:rPr>
        <w:t xml:space="preserve">Supplementary </w:t>
      </w:r>
      <w:r>
        <w:rPr>
          <w:rFonts w:ascii="Times New Roman" w:hAnsi="Times New Roman"/>
          <w:b/>
          <w:sz w:val="24"/>
          <w:szCs w:val="24"/>
        </w:rPr>
        <w:t>Figures</w:t>
      </w:r>
    </w:p>
    <w:p w:rsidR="00333B62" w:rsidRPr="00C450A8" w:rsidRDefault="00333B62" w:rsidP="00333B62">
      <w:pPr>
        <w:widowControl w:val="0"/>
        <w:autoSpaceDE w:val="0"/>
        <w:autoSpaceDN w:val="0"/>
        <w:adjustRightInd w:val="0"/>
        <w:spacing w:after="240" w:line="480" w:lineRule="auto"/>
        <w:ind w:left="480" w:hanging="480"/>
        <w:rPr>
          <w:rFonts w:eastAsia="SimSun"/>
          <w:szCs w:val="24"/>
        </w:rPr>
      </w:pPr>
    </w:p>
    <w:p w:rsidR="007773B0" w:rsidRPr="00CC646C" w:rsidRDefault="007773B0" w:rsidP="00333B62">
      <w:pPr>
        <w:pStyle w:val="MDPI61Supplementary"/>
        <w:spacing w:line="480" w:lineRule="auto"/>
        <w:jc w:val="left"/>
        <w:rPr>
          <w:rFonts w:ascii="Times New Roman" w:hAnsi="Times New Roman"/>
          <w:sz w:val="24"/>
          <w:szCs w:val="24"/>
        </w:rPr>
      </w:pPr>
      <w:r w:rsidRPr="00CC646C">
        <w:rPr>
          <w:rFonts w:ascii="Times New Roman" w:hAnsi="Times New Roman"/>
          <w:sz w:val="24"/>
          <w:szCs w:val="24"/>
        </w:rPr>
        <w:t>Figure S1: Species Richness Sequence Depth Rarefaction</w:t>
      </w:r>
    </w:p>
    <w:p w:rsidR="007773B0" w:rsidRDefault="007773B0" w:rsidP="00333B62">
      <w:pPr>
        <w:widowControl w:val="0"/>
        <w:autoSpaceDE w:val="0"/>
        <w:autoSpaceDN w:val="0"/>
        <w:adjustRightInd w:val="0"/>
        <w:spacing w:after="240" w:line="480" w:lineRule="auto"/>
        <w:ind w:left="480" w:hanging="480"/>
        <w:rPr>
          <w:rFonts w:eastAsia="SimSun"/>
          <w:szCs w:val="24"/>
        </w:rPr>
      </w:pPr>
      <w:r w:rsidRPr="00C450A8">
        <w:rPr>
          <w:rFonts w:eastAsia="SimSun"/>
          <w:noProof/>
          <w:szCs w:val="24"/>
        </w:rPr>
        <w:lastRenderedPageBreak/>
        <w:drawing>
          <wp:inline distT="0" distB="0" distL="0" distR="0" wp14:anchorId="0BE723EF" wp14:editId="3D5A46FD">
            <wp:extent cx="5615940" cy="2807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arefaction.eps"/>
                    <pic:cNvPicPr/>
                  </pic:nvPicPr>
                  <pic:blipFill>
                    <a:blip r:embed="rId5"/>
                    <a:stretch>
                      <a:fillRect/>
                    </a:stretch>
                  </pic:blipFill>
                  <pic:spPr>
                    <a:xfrm>
                      <a:off x="0" y="0"/>
                      <a:ext cx="5615940" cy="2807970"/>
                    </a:xfrm>
                    <a:prstGeom prst="rect">
                      <a:avLst/>
                    </a:prstGeom>
                  </pic:spPr>
                </pic:pic>
              </a:graphicData>
            </a:graphic>
          </wp:inline>
        </w:drawing>
      </w:r>
    </w:p>
    <w:p w:rsidR="00333B62" w:rsidRDefault="00333B62" w:rsidP="00333B62">
      <w:pPr>
        <w:widowControl w:val="0"/>
        <w:autoSpaceDE w:val="0"/>
        <w:autoSpaceDN w:val="0"/>
        <w:adjustRightInd w:val="0"/>
        <w:spacing w:line="480" w:lineRule="auto"/>
        <w:ind w:left="480" w:hanging="480"/>
        <w:rPr>
          <w:b/>
          <w:bCs/>
        </w:rPr>
      </w:pPr>
      <w:r w:rsidRPr="00333B62">
        <w:rPr>
          <w:b/>
          <w:bCs/>
        </w:rPr>
        <w:t>References</w:t>
      </w:r>
    </w:p>
    <w:p w:rsidR="00333B62" w:rsidRPr="00333B62" w:rsidRDefault="00333B62" w:rsidP="00333B62">
      <w:pPr>
        <w:widowControl w:val="0"/>
        <w:autoSpaceDE w:val="0"/>
        <w:autoSpaceDN w:val="0"/>
        <w:adjustRightInd w:val="0"/>
        <w:spacing w:line="480" w:lineRule="auto"/>
        <w:ind w:left="480" w:hanging="480"/>
        <w:rPr>
          <w:b/>
          <w:bCs/>
        </w:rPr>
      </w:pPr>
      <w:r>
        <w:rPr>
          <w:b/>
          <w:bCs/>
        </w:rPr>
        <w:fldChar w:fldCharType="begin" w:fldLock="1"/>
      </w:r>
      <w:r w:rsidRPr="00333B62">
        <w:rPr>
          <w:b/>
          <w:bCs/>
        </w:rPr>
        <w:instrText xml:space="preserve">ADDIN Mendeley Bibliography CSL_BIBLIOGRAPHY </w:instrText>
      </w:r>
      <w:r>
        <w:rPr>
          <w:b/>
          <w:bCs/>
        </w:rPr>
        <w:fldChar w:fldCharType="separate"/>
      </w:r>
    </w:p>
    <w:p w:rsidR="00333B62" w:rsidRPr="00333B62" w:rsidRDefault="00333B62" w:rsidP="00333B62">
      <w:pPr>
        <w:widowControl w:val="0"/>
        <w:autoSpaceDE w:val="0"/>
        <w:autoSpaceDN w:val="0"/>
        <w:adjustRightInd w:val="0"/>
        <w:spacing w:line="480" w:lineRule="auto"/>
        <w:ind w:left="480" w:hanging="480"/>
        <w:rPr>
          <w:noProof/>
        </w:rPr>
      </w:pPr>
      <w:r w:rsidRPr="00333B62">
        <w:rPr>
          <w:noProof/>
        </w:rPr>
        <w:t xml:space="preserve">Costello, M., Fleharty, M., Abreu, J., Farjoun, Y., Ferriera, S., Holmes, L., … Mason, T. (2018). Characterization and remediation of sample index swaps by non-redundant dual indexing on massively parallel sequencing platforms. </w:t>
      </w:r>
      <w:r w:rsidRPr="00333B62">
        <w:rPr>
          <w:i/>
          <w:iCs/>
          <w:noProof/>
        </w:rPr>
        <w:t>BMC Genomics</w:t>
      </w:r>
      <w:r w:rsidRPr="00333B62">
        <w:rPr>
          <w:noProof/>
        </w:rPr>
        <w:t xml:space="preserve">, </w:t>
      </w:r>
      <w:r w:rsidRPr="00333B62">
        <w:rPr>
          <w:i/>
          <w:iCs/>
          <w:noProof/>
        </w:rPr>
        <w:t>19</w:t>
      </w:r>
      <w:r w:rsidRPr="00333B62">
        <w:rPr>
          <w:noProof/>
        </w:rPr>
        <w:t>(1), 332.</w:t>
      </w:r>
    </w:p>
    <w:p w:rsidR="00333B62" w:rsidRPr="00333B62" w:rsidRDefault="00333B62" w:rsidP="00333B62">
      <w:pPr>
        <w:widowControl w:val="0"/>
        <w:autoSpaceDE w:val="0"/>
        <w:autoSpaceDN w:val="0"/>
        <w:adjustRightInd w:val="0"/>
        <w:spacing w:line="480" w:lineRule="auto"/>
        <w:ind w:left="480" w:hanging="480"/>
        <w:rPr>
          <w:noProof/>
        </w:rPr>
      </w:pPr>
      <w:r w:rsidRPr="00333B62">
        <w:rPr>
          <w:noProof/>
        </w:rPr>
        <w:t xml:space="preserve">Curd, E. E., Gold, Z., Kandlikar, G. S., Gomer, J., Ogden, M., O’Connell, T., … Meyer, R. S. (2019). Anacapa: an environmental DNA toolkit for processing multilocus metabarcode datasets. </w:t>
      </w:r>
      <w:r w:rsidRPr="00333B62">
        <w:rPr>
          <w:i/>
          <w:iCs/>
          <w:noProof/>
        </w:rPr>
        <w:t>Methods in Ecology and Evolution</w:t>
      </w:r>
      <w:r w:rsidRPr="00333B62">
        <w:rPr>
          <w:noProof/>
        </w:rPr>
        <w:t xml:space="preserve">, </w:t>
      </w:r>
      <w:r w:rsidRPr="00333B62">
        <w:rPr>
          <w:i/>
          <w:iCs/>
          <w:noProof/>
        </w:rPr>
        <w:t>10</w:t>
      </w:r>
      <w:r w:rsidRPr="00333B62">
        <w:rPr>
          <w:noProof/>
        </w:rPr>
        <w:t>, 1469– 1475. doi:https://doi.org/10.1111/2041-210X.13214</w:t>
      </w:r>
    </w:p>
    <w:p w:rsidR="00333B62" w:rsidRPr="00333B62" w:rsidRDefault="00333B62" w:rsidP="00333B62">
      <w:pPr>
        <w:widowControl w:val="0"/>
        <w:autoSpaceDE w:val="0"/>
        <w:autoSpaceDN w:val="0"/>
        <w:adjustRightInd w:val="0"/>
        <w:spacing w:line="480" w:lineRule="auto"/>
        <w:ind w:left="480" w:hanging="480"/>
        <w:rPr>
          <w:noProof/>
        </w:rPr>
      </w:pPr>
      <w:r w:rsidRPr="00333B62">
        <w:rPr>
          <w:noProof/>
        </w:rPr>
        <w:t xml:space="preserve">Faircloth, B. C., &amp; Glenn, T. C. (2014). Protocol: Preparation of an AMPure XP substitute (AKA Serapure). </w:t>
      </w:r>
      <w:r w:rsidRPr="00333B62">
        <w:rPr>
          <w:i/>
          <w:iCs/>
          <w:noProof/>
        </w:rPr>
        <w:t>DOI</w:t>
      </w:r>
      <w:r w:rsidRPr="00333B62">
        <w:rPr>
          <w:noProof/>
        </w:rPr>
        <w:t xml:space="preserve">, </w:t>
      </w:r>
      <w:r w:rsidRPr="00333B62">
        <w:rPr>
          <w:i/>
          <w:iCs/>
          <w:noProof/>
        </w:rPr>
        <w:t>10</w:t>
      </w:r>
      <w:r w:rsidRPr="00333B62">
        <w:rPr>
          <w:noProof/>
        </w:rPr>
        <w:t>, J9MW2F26.</w:t>
      </w:r>
    </w:p>
    <w:p w:rsidR="00333B62" w:rsidRPr="00333B62" w:rsidRDefault="00333B62" w:rsidP="00333B62">
      <w:pPr>
        <w:widowControl w:val="0"/>
        <w:autoSpaceDE w:val="0"/>
        <w:autoSpaceDN w:val="0"/>
        <w:adjustRightInd w:val="0"/>
        <w:spacing w:line="480" w:lineRule="auto"/>
        <w:ind w:left="480" w:hanging="480"/>
        <w:rPr>
          <w:noProof/>
        </w:rPr>
      </w:pPr>
      <w:r w:rsidRPr="00333B62">
        <w:rPr>
          <w:noProof/>
        </w:rPr>
        <w:t>Gold, Z. J. (2020). Design and Implementation of Environmental DNA Metabarcoding Methods for Monitoring the Southern California Marine Protected Area Network. UCLA.</w:t>
      </w:r>
    </w:p>
    <w:p w:rsidR="00333B62" w:rsidRPr="00333B62" w:rsidRDefault="00333B62" w:rsidP="00333B62">
      <w:pPr>
        <w:widowControl w:val="0"/>
        <w:autoSpaceDE w:val="0"/>
        <w:autoSpaceDN w:val="0"/>
        <w:adjustRightInd w:val="0"/>
        <w:spacing w:line="480" w:lineRule="auto"/>
        <w:ind w:left="480" w:hanging="480"/>
        <w:rPr>
          <w:noProof/>
        </w:rPr>
      </w:pPr>
      <w:r w:rsidRPr="00333B62">
        <w:rPr>
          <w:noProof/>
        </w:rPr>
        <w:t xml:space="preserve">Goldberg, C. S., Turner, C. R., Deiner, K., Klymus, K. E., Thomsen, P. F., Murphy, M. A., … Taberlet, P. (2016). Critical considerations for the application of environmental DNA </w:t>
      </w:r>
      <w:r w:rsidRPr="00333B62">
        <w:rPr>
          <w:noProof/>
        </w:rPr>
        <w:lastRenderedPageBreak/>
        <w:t>methods to detect aquatic species. doi:10.1111/2041-210X.12595</w:t>
      </w:r>
    </w:p>
    <w:p w:rsidR="00333B62" w:rsidRPr="00333B62" w:rsidRDefault="00333B62" w:rsidP="00333B62">
      <w:pPr>
        <w:widowControl w:val="0"/>
        <w:autoSpaceDE w:val="0"/>
        <w:autoSpaceDN w:val="0"/>
        <w:adjustRightInd w:val="0"/>
        <w:spacing w:line="480" w:lineRule="auto"/>
        <w:ind w:left="480" w:hanging="480"/>
        <w:rPr>
          <w:noProof/>
        </w:rPr>
      </w:pPr>
      <w:r w:rsidRPr="00333B62">
        <w:rPr>
          <w:noProof/>
        </w:rPr>
        <w:t xml:space="preserve">Kelly, R. P., Gallego, R., &amp; Jacobs-Palmer, E. (2018). The effect of tides on nearshore environmental DNA. </w:t>
      </w:r>
      <w:r w:rsidRPr="00333B62">
        <w:rPr>
          <w:i/>
          <w:iCs/>
          <w:noProof/>
        </w:rPr>
        <w:t>PeerJ</w:t>
      </w:r>
      <w:r w:rsidRPr="00333B62">
        <w:rPr>
          <w:noProof/>
        </w:rPr>
        <w:t xml:space="preserve">, </w:t>
      </w:r>
      <w:r w:rsidRPr="00333B62">
        <w:rPr>
          <w:i/>
          <w:iCs/>
          <w:noProof/>
        </w:rPr>
        <w:t>6</w:t>
      </w:r>
      <w:r w:rsidRPr="00333B62">
        <w:rPr>
          <w:noProof/>
        </w:rPr>
        <w:t>, e4521.</w:t>
      </w:r>
    </w:p>
    <w:p w:rsidR="00333B62" w:rsidRPr="00333B62" w:rsidRDefault="00333B62" w:rsidP="00333B62">
      <w:pPr>
        <w:widowControl w:val="0"/>
        <w:autoSpaceDE w:val="0"/>
        <w:autoSpaceDN w:val="0"/>
        <w:adjustRightInd w:val="0"/>
        <w:spacing w:line="480" w:lineRule="auto"/>
        <w:ind w:left="480" w:hanging="480"/>
        <w:rPr>
          <w:noProof/>
        </w:rPr>
      </w:pPr>
      <w:r w:rsidRPr="00333B62">
        <w:rPr>
          <w:noProof/>
        </w:rPr>
        <w:t xml:space="preserve">Kelly, R. P., Shelton, A. O., &amp; Gallego, R. (2019). Understanding PCR processes to Draw Meaningful conclusions from environmental DNA Studies. </w:t>
      </w:r>
      <w:r w:rsidRPr="00333B62">
        <w:rPr>
          <w:i/>
          <w:iCs/>
          <w:noProof/>
        </w:rPr>
        <w:t>Scientific Reports</w:t>
      </w:r>
      <w:r w:rsidRPr="00333B62">
        <w:rPr>
          <w:noProof/>
        </w:rPr>
        <w:t xml:space="preserve">, </w:t>
      </w:r>
      <w:r w:rsidRPr="00333B62">
        <w:rPr>
          <w:i/>
          <w:iCs/>
          <w:noProof/>
        </w:rPr>
        <w:t>9</w:t>
      </w:r>
      <w:r w:rsidRPr="00333B62">
        <w:rPr>
          <w:noProof/>
        </w:rPr>
        <w:t>(1), 1–14.</w:t>
      </w:r>
    </w:p>
    <w:p w:rsidR="00333B62" w:rsidRPr="00333B62" w:rsidRDefault="00333B62" w:rsidP="00333B62">
      <w:pPr>
        <w:widowControl w:val="0"/>
        <w:autoSpaceDE w:val="0"/>
        <w:autoSpaceDN w:val="0"/>
        <w:adjustRightInd w:val="0"/>
        <w:spacing w:line="480" w:lineRule="auto"/>
        <w:ind w:left="480" w:hanging="480"/>
        <w:rPr>
          <w:noProof/>
        </w:rPr>
      </w:pPr>
      <w:r w:rsidRPr="00333B62">
        <w:rPr>
          <w:noProof/>
        </w:rPr>
        <w:t xml:space="preserve">Kushner, D. J., Rassweiler, A., McLaughlin, J. P., &amp; Lafferty, K. D. (2013). A multi-decade time series of kelp forest community structure at the California Channel Islands. </w:t>
      </w:r>
      <w:r w:rsidRPr="00333B62">
        <w:rPr>
          <w:i/>
          <w:iCs/>
          <w:noProof/>
        </w:rPr>
        <w:t>Ecology</w:t>
      </w:r>
      <w:r w:rsidRPr="00333B62">
        <w:rPr>
          <w:noProof/>
        </w:rPr>
        <w:t xml:space="preserve">, </w:t>
      </w:r>
      <w:r w:rsidRPr="00333B62">
        <w:rPr>
          <w:i/>
          <w:iCs/>
          <w:noProof/>
        </w:rPr>
        <w:t>94</w:t>
      </w:r>
      <w:r w:rsidRPr="00333B62">
        <w:rPr>
          <w:noProof/>
        </w:rPr>
        <w:t>(11), 2655.</w:t>
      </w:r>
    </w:p>
    <w:p w:rsidR="00333B62" w:rsidRPr="00333B62" w:rsidRDefault="00333B62" w:rsidP="00333B62">
      <w:pPr>
        <w:widowControl w:val="0"/>
        <w:autoSpaceDE w:val="0"/>
        <w:autoSpaceDN w:val="0"/>
        <w:adjustRightInd w:val="0"/>
        <w:spacing w:line="480" w:lineRule="auto"/>
        <w:ind w:left="480" w:hanging="480"/>
        <w:rPr>
          <w:noProof/>
        </w:rPr>
      </w:pPr>
      <w:r w:rsidRPr="00333B62">
        <w:rPr>
          <w:noProof/>
        </w:rPr>
        <w:t xml:space="preserve">Lahoz-Monfort, J. J., Guillera-Arroita, G., &amp; Tingley, R. (2016). Statistical approaches to account for false-positive errors in environmental DNA samples. </w:t>
      </w:r>
      <w:r w:rsidRPr="00333B62">
        <w:rPr>
          <w:i/>
          <w:iCs/>
          <w:noProof/>
        </w:rPr>
        <w:t>Molecular Ecology Resources</w:t>
      </w:r>
      <w:r w:rsidRPr="00333B62">
        <w:rPr>
          <w:noProof/>
        </w:rPr>
        <w:t xml:space="preserve">, </w:t>
      </w:r>
      <w:r w:rsidRPr="00333B62">
        <w:rPr>
          <w:i/>
          <w:iCs/>
          <w:noProof/>
        </w:rPr>
        <w:t>16</w:t>
      </w:r>
      <w:r w:rsidRPr="00333B62">
        <w:rPr>
          <w:noProof/>
        </w:rPr>
        <w:t>(3), 673–685. doi:10.1111/1755-0998.12486</w:t>
      </w:r>
    </w:p>
    <w:p w:rsidR="00333B62" w:rsidRPr="00333B62" w:rsidRDefault="00333B62" w:rsidP="00333B62">
      <w:pPr>
        <w:widowControl w:val="0"/>
        <w:autoSpaceDE w:val="0"/>
        <w:autoSpaceDN w:val="0"/>
        <w:adjustRightInd w:val="0"/>
        <w:spacing w:line="480" w:lineRule="auto"/>
        <w:ind w:left="480" w:hanging="480"/>
        <w:rPr>
          <w:noProof/>
        </w:rPr>
      </w:pPr>
      <w:r w:rsidRPr="00333B62">
        <w:rPr>
          <w:noProof/>
        </w:rPr>
        <w:t xml:space="preserve">McKnight, D. T., Huerlimann, R., Bower, D. S., Schwarzkopf, L., Alford, R. A., &amp; Zenger, K. R. (2019). microDecon: A highly accurate read‐subtraction tool for the post‐sequencing removal of contamination in metabarcoding studies. </w:t>
      </w:r>
      <w:r w:rsidRPr="00333B62">
        <w:rPr>
          <w:i/>
          <w:iCs/>
          <w:noProof/>
        </w:rPr>
        <w:t>Environmental DNA</w:t>
      </w:r>
      <w:r w:rsidRPr="00333B62">
        <w:rPr>
          <w:noProof/>
        </w:rPr>
        <w:t>.</w:t>
      </w:r>
    </w:p>
    <w:p w:rsidR="00333B62" w:rsidRPr="00333B62" w:rsidRDefault="00333B62" w:rsidP="00333B62">
      <w:pPr>
        <w:widowControl w:val="0"/>
        <w:autoSpaceDE w:val="0"/>
        <w:autoSpaceDN w:val="0"/>
        <w:adjustRightInd w:val="0"/>
        <w:spacing w:line="480" w:lineRule="auto"/>
        <w:ind w:left="480" w:hanging="480"/>
        <w:rPr>
          <w:noProof/>
        </w:rPr>
      </w:pPr>
      <w:r w:rsidRPr="00333B62">
        <w:rPr>
          <w:noProof/>
        </w:rPr>
        <w:t xml:space="preserve">Miya, M., Sato, Y., Fukunaga, T., Sado, T., Poulsen, J. Y., Sato, K., … Iwasaki, W. (2015). MiFish, a set of universal PCR primers for metabarcoding environmental DNA from fishes: detection of more than 230 subtropical marine species. </w:t>
      </w:r>
      <w:r w:rsidRPr="00333B62">
        <w:rPr>
          <w:i/>
          <w:iCs/>
          <w:noProof/>
        </w:rPr>
        <w:t>Royal Society Open Science</w:t>
      </w:r>
      <w:r w:rsidRPr="00333B62">
        <w:rPr>
          <w:noProof/>
        </w:rPr>
        <w:t xml:space="preserve">, </w:t>
      </w:r>
      <w:r w:rsidRPr="00333B62">
        <w:rPr>
          <w:i/>
          <w:iCs/>
          <w:noProof/>
        </w:rPr>
        <w:t>2</w:t>
      </w:r>
      <w:r w:rsidRPr="00333B62">
        <w:rPr>
          <w:noProof/>
        </w:rPr>
        <w:t>(7), 150088. doi:10.1098/rsos.150088</w:t>
      </w:r>
    </w:p>
    <w:p w:rsidR="00333B62" w:rsidRPr="00333B62" w:rsidRDefault="00333B62" w:rsidP="00333B62">
      <w:pPr>
        <w:widowControl w:val="0"/>
        <w:autoSpaceDE w:val="0"/>
        <w:autoSpaceDN w:val="0"/>
        <w:adjustRightInd w:val="0"/>
        <w:spacing w:line="480" w:lineRule="auto"/>
        <w:ind w:left="480" w:hanging="480"/>
        <w:rPr>
          <w:noProof/>
        </w:rPr>
      </w:pPr>
      <w:r w:rsidRPr="00333B62">
        <w:rPr>
          <w:noProof/>
        </w:rPr>
        <w:t xml:space="preserve">Miya, Masaki, Minamoto, T., Yamanaka, H., Oka, S., Sato, K., Yamamoto, S., … Doi, H. (2016). Use of a Filter Cartridge for Filtration of Water Samples and Extraction of Environmental DNA. </w:t>
      </w:r>
      <w:r w:rsidRPr="00333B62">
        <w:rPr>
          <w:i/>
          <w:iCs/>
          <w:noProof/>
        </w:rPr>
        <w:t>Journal of Visualized Experiments</w:t>
      </w:r>
      <w:r w:rsidRPr="00333B62">
        <w:rPr>
          <w:noProof/>
        </w:rPr>
        <w:t>, (117), e54741–e54741. doi:10.3791/54741</w:t>
      </w:r>
    </w:p>
    <w:p w:rsidR="00333B62" w:rsidRPr="00333B62" w:rsidRDefault="00333B62" w:rsidP="00333B62">
      <w:pPr>
        <w:widowControl w:val="0"/>
        <w:autoSpaceDE w:val="0"/>
        <w:autoSpaceDN w:val="0"/>
        <w:adjustRightInd w:val="0"/>
        <w:spacing w:line="480" w:lineRule="auto"/>
        <w:ind w:left="480" w:hanging="480"/>
        <w:rPr>
          <w:noProof/>
        </w:rPr>
      </w:pPr>
      <w:r w:rsidRPr="00333B62">
        <w:rPr>
          <w:noProof/>
        </w:rPr>
        <w:t xml:space="preserve">Royle, J. A., &amp; Link, W. A. (2006). Generalized site occupancy models allowing for false positive and false negative errors. </w:t>
      </w:r>
      <w:r w:rsidRPr="00333B62">
        <w:rPr>
          <w:i/>
          <w:iCs/>
          <w:noProof/>
        </w:rPr>
        <w:t>Ecology</w:t>
      </w:r>
      <w:r w:rsidRPr="00333B62">
        <w:rPr>
          <w:noProof/>
        </w:rPr>
        <w:t xml:space="preserve">, </w:t>
      </w:r>
      <w:r w:rsidRPr="00333B62">
        <w:rPr>
          <w:i/>
          <w:iCs/>
          <w:noProof/>
        </w:rPr>
        <w:t>87</w:t>
      </w:r>
      <w:r w:rsidRPr="00333B62">
        <w:rPr>
          <w:noProof/>
        </w:rPr>
        <w:t>(4), 835–841.</w:t>
      </w:r>
    </w:p>
    <w:p w:rsidR="00333B62" w:rsidRPr="00333B62" w:rsidRDefault="00333B62" w:rsidP="00333B62">
      <w:pPr>
        <w:widowControl w:val="0"/>
        <w:autoSpaceDE w:val="0"/>
        <w:autoSpaceDN w:val="0"/>
        <w:adjustRightInd w:val="0"/>
        <w:spacing w:line="480" w:lineRule="auto"/>
        <w:ind w:left="480" w:hanging="480"/>
        <w:rPr>
          <w:noProof/>
        </w:rPr>
      </w:pPr>
      <w:r w:rsidRPr="00333B62">
        <w:rPr>
          <w:noProof/>
        </w:rPr>
        <w:lastRenderedPageBreak/>
        <w:t xml:space="preserve">Schmidt, B. R., Kery, M., Ursenbacher, S., Hyman, O. J., &amp; Collins, J. P. (2013). Site occupancy models in the analysis of environmental DNA presence/absence surveys: a case study of an emerging amphibian pathogen. </w:t>
      </w:r>
      <w:r w:rsidRPr="00333B62">
        <w:rPr>
          <w:i/>
          <w:iCs/>
          <w:noProof/>
        </w:rPr>
        <w:t>Methods in Ecology and Evolution</w:t>
      </w:r>
      <w:r w:rsidRPr="00333B62">
        <w:rPr>
          <w:noProof/>
        </w:rPr>
        <w:t xml:space="preserve">, </w:t>
      </w:r>
      <w:r w:rsidRPr="00333B62">
        <w:rPr>
          <w:i/>
          <w:iCs/>
          <w:noProof/>
        </w:rPr>
        <w:t>4</w:t>
      </w:r>
      <w:r w:rsidRPr="00333B62">
        <w:rPr>
          <w:noProof/>
        </w:rPr>
        <w:t>(7), 646–653.</w:t>
      </w:r>
    </w:p>
    <w:p w:rsidR="00333B62" w:rsidRPr="00333B62" w:rsidRDefault="00333B62" w:rsidP="00333B62">
      <w:pPr>
        <w:widowControl w:val="0"/>
        <w:autoSpaceDE w:val="0"/>
        <w:autoSpaceDN w:val="0"/>
        <w:adjustRightInd w:val="0"/>
        <w:spacing w:line="480" w:lineRule="auto"/>
        <w:ind w:left="480" w:hanging="480"/>
        <w:rPr>
          <w:noProof/>
        </w:rPr>
      </w:pPr>
      <w:r w:rsidRPr="00333B62">
        <w:rPr>
          <w:noProof/>
        </w:rPr>
        <w:t xml:space="preserve">Spens, J., Evans, A. R., Halfmaerten, D., Knudsen, S. W., Sengupta, M. E., Mak, S. S. T., … Hellström, M. (2017). Comparison of capture and storage methods for aqueous macrobial eDNA using an optimized extraction protocol: advantage of enclosed filter. </w:t>
      </w:r>
      <w:r w:rsidRPr="00333B62">
        <w:rPr>
          <w:i/>
          <w:iCs/>
          <w:noProof/>
        </w:rPr>
        <w:t>Methods in Ecology and Evolution</w:t>
      </w:r>
      <w:r w:rsidRPr="00333B62">
        <w:rPr>
          <w:noProof/>
        </w:rPr>
        <w:t xml:space="preserve">, </w:t>
      </w:r>
      <w:r w:rsidRPr="00333B62">
        <w:rPr>
          <w:i/>
          <w:iCs/>
          <w:noProof/>
        </w:rPr>
        <w:t>8</w:t>
      </w:r>
      <w:r w:rsidRPr="00333B62">
        <w:rPr>
          <w:noProof/>
        </w:rPr>
        <w:t>(5), 635–645. doi:10.1111/2041-210X.12683</w:t>
      </w:r>
    </w:p>
    <w:p w:rsidR="00333B62" w:rsidRPr="00333B62" w:rsidRDefault="00333B62" w:rsidP="00333B62">
      <w:pPr>
        <w:widowControl w:val="0"/>
        <w:autoSpaceDE w:val="0"/>
        <w:autoSpaceDN w:val="0"/>
        <w:adjustRightInd w:val="0"/>
        <w:spacing w:line="480" w:lineRule="auto"/>
        <w:ind w:left="480" w:hanging="480"/>
        <w:rPr>
          <w:noProof/>
        </w:rPr>
      </w:pPr>
      <w:r w:rsidRPr="00333B62">
        <w:rPr>
          <w:noProof/>
        </w:rPr>
        <w:t>Team, R. C. (2014). R: A language and environment for statistical computing. Vienna, Austria: R Foundation for Statistical Computing; 2014.</w:t>
      </w:r>
    </w:p>
    <w:p w:rsidR="00333B62" w:rsidRPr="00333B62" w:rsidRDefault="00333B62" w:rsidP="00333B62">
      <w:pPr>
        <w:widowControl w:val="0"/>
        <w:autoSpaceDE w:val="0"/>
        <w:autoSpaceDN w:val="0"/>
        <w:adjustRightInd w:val="0"/>
        <w:spacing w:line="480" w:lineRule="auto"/>
        <w:ind w:left="480" w:hanging="480"/>
        <w:rPr>
          <w:noProof/>
        </w:rPr>
      </w:pPr>
      <w:r w:rsidRPr="00333B62">
        <w:rPr>
          <w:noProof/>
        </w:rPr>
        <w:t xml:space="preserve">Thomsen, P. F., Møller, P. R., Sigsgaard, E. E., Knudsen, S. W., Jørgensen, O. A., &amp; Willerslev, E. (2016). Environmental DNA from seawater samples correlate with trawl catches of subarctic, deepwater fishes. </w:t>
      </w:r>
      <w:r w:rsidRPr="00333B62">
        <w:rPr>
          <w:i/>
          <w:iCs/>
          <w:noProof/>
        </w:rPr>
        <w:t>PLoS ONE</w:t>
      </w:r>
      <w:r w:rsidRPr="00333B62">
        <w:rPr>
          <w:noProof/>
        </w:rPr>
        <w:t xml:space="preserve">, </w:t>
      </w:r>
      <w:r w:rsidRPr="00333B62">
        <w:rPr>
          <w:i/>
          <w:iCs/>
          <w:noProof/>
        </w:rPr>
        <w:t>11</w:t>
      </w:r>
      <w:r w:rsidRPr="00333B62">
        <w:rPr>
          <w:noProof/>
        </w:rPr>
        <w:t>(11). doi:10.1371/journal.pone.0165252</w:t>
      </w:r>
    </w:p>
    <w:p w:rsidR="003C2726" w:rsidRDefault="00333B62" w:rsidP="00333B62">
      <w:pPr>
        <w:spacing w:line="480" w:lineRule="auto"/>
      </w:pPr>
      <w:r>
        <w:fldChar w:fldCharType="end"/>
      </w:r>
    </w:p>
    <w:sectPr w:rsidR="003C2726" w:rsidSect="003F1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3B0"/>
    <w:rsid w:val="001F695D"/>
    <w:rsid w:val="00333B62"/>
    <w:rsid w:val="003C2726"/>
    <w:rsid w:val="003F1E24"/>
    <w:rsid w:val="0077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86F654-F9CF-E540-BADC-D29EAE84B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3B0"/>
    <w:pPr>
      <w:spacing w:line="340" w:lineRule="atLeast"/>
      <w:jc w:val="both"/>
    </w:pPr>
    <w:rPr>
      <w:rFonts w:ascii="Times New Roman" w:eastAsia="Times New Roman" w:hAnsi="Times New Roman" w:cs="Times New Roman"/>
      <w:color w:val="00000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35textbeforelist">
    <w:name w:val="MDPI_3.5_text_before_list"/>
    <w:basedOn w:val="MDPI31text"/>
    <w:qFormat/>
    <w:rsid w:val="007773B0"/>
    <w:pPr>
      <w:spacing w:after="120"/>
    </w:pPr>
  </w:style>
  <w:style w:type="paragraph" w:customStyle="1" w:styleId="MDPI61Supplementary">
    <w:name w:val="MDPI_6.1_Supplementary"/>
    <w:basedOn w:val="Normal"/>
    <w:qFormat/>
    <w:rsid w:val="007773B0"/>
    <w:pPr>
      <w:adjustRightInd w:val="0"/>
      <w:snapToGrid w:val="0"/>
      <w:spacing w:before="240" w:line="200" w:lineRule="atLeast"/>
    </w:pPr>
    <w:rPr>
      <w:rFonts w:ascii="Palatino Linotype" w:hAnsi="Palatino Linotype"/>
      <w:snapToGrid w:val="0"/>
      <w:sz w:val="18"/>
      <w:lang w:eastAsia="en-US" w:bidi="en-US"/>
    </w:rPr>
  </w:style>
  <w:style w:type="paragraph" w:customStyle="1" w:styleId="MDPI31text">
    <w:name w:val="MDPI_3.1_text"/>
    <w:qFormat/>
    <w:rsid w:val="007773B0"/>
    <w:pPr>
      <w:adjustRightInd w:val="0"/>
      <w:snapToGrid w:val="0"/>
      <w:spacing w:line="260" w:lineRule="atLeast"/>
      <w:ind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23heading3">
    <w:name w:val="MDPI_2.3_heading3"/>
    <w:basedOn w:val="MDPI31text"/>
    <w:qFormat/>
    <w:rsid w:val="007773B0"/>
    <w:pPr>
      <w:spacing w:before="240" w:after="120"/>
      <w:ind w:firstLine="0"/>
      <w:jc w:val="left"/>
      <w:outlineLvl w:val="2"/>
    </w:pPr>
  </w:style>
  <w:style w:type="paragraph" w:customStyle="1" w:styleId="MDPI21heading1">
    <w:name w:val="MDPI_2.1_heading1"/>
    <w:basedOn w:val="MDPI23heading3"/>
    <w:qFormat/>
    <w:rsid w:val="007773B0"/>
    <w:pPr>
      <w:outlineLvl w:val="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32361A-A7F3-2E49-B996-FB7247D05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10450</Words>
  <Characters>59570</Characters>
  <Application>Microsoft Office Word</Application>
  <DocSecurity>0</DocSecurity>
  <Lines>496</Lines>
  <Paragraphs>139</Paragraphs>
  <ScaleCrop>false</ScaleCrop>
  <Company/>
  <LinksUpToDate>false</LinksUpToDate>
  <CharactersWithSpaces>69881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Gold</dc:creator>
  <cp:keywords/>
  <dc:description/>
  <cp:lastModifiedBy>Zachary Gold</cp:lastModifiedBy>
  <cp:revision>2</cp:revision>
  <dcterms:created xsi:type="dcterms:W3CDTF">2020-08-17T15:09:00Z</dcterms:created>
  <dcterms:modified xsi:type="dcterms:W3CDTF">2020-08-17T15:09:00Z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http://www.zotero.org/styles/conservation-biology</vt:lpwstr>
  </property>
  <property fmtid="{D5CDD505-2E9C-101B-9397-08002B2CF9AE}" pid="7" name="Mendeley Recent Style Name 2_1">
    <vt:lpwstr>Conservation Biology</vt:lpwstr>
  </property>
  <property fmtid="{D5CDD505-2E9C-101B-9397-08002B2CF9AE}" pid="8" name="Mendeley Recent Style Id 3_1">
    <vt:lpwstr>http://www.zotero.org/styles/conservation-genetics</vt:lpwstr>
  </property>
  <property fmtid="{D5CDD505-2E9C-101B-9397-08002B2CF9AE}" pid="9" name="Mendeley Recent Style Name 3_1">
    <vt:lpwstr>Conservation Genetics</vt:lpwstr>
  </property>
  <property fmtid="{D5CDD505-2E9C-101B-9397-08002B2CF9AE}" pid="10" name="Mendeley Recent Style Id 4_1">
    <vt:lpwstr>http://www.zotero.org/styles/conservation-genetics-resources</vt:lpwstr>
  </property>
  <property fmtid="{D5CDD505-2E9C-101B-9397-08002B2CF9AE}" pid="11" name="Mendeley Recent Style Name 4_1">
    <vt:lpwstr>Conservation Genetics Resources</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http://www.zotero.org/styles/methods-in-ecology-and-evolution</vt:lpwstr>
  </property>
  <property fmtid="{D5CDD505-2E9C-101B-9397-08002B2CF9AE}" pid="19" name="Mendeley Recent Style Name 8_1">
    <vt:lpwstr>Methods in Ecology and Evolution</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y fmtid="{D5CDD505-2E9C-101B-9397-08002B2CF9AE}" pid="22" name="Mendeley Document_1">
    <vt:lpwstr>True</vt:lpwstr>
  </property>
  <property fmtid="{D5CDD505-2E9C-101B-9397-08002B2CF9AE}" pid="23" name="Mendeley Unique User Id_1">
    <vt:lpwstr>36705857-f911-3d59-87c6-44a470f113d8</vt:lpwstr>
  </property>
  <property fmtid="{D5CDD505-2E9C-101B-9397-08002B2CF9AE}" pid="24" name="Mendeley Citation Style_1">
    <vt:lpwstr>http://www.zotero.org/styles/methods-in-ecology-and-evolution</vt:lpwstr>
  </property>
</Properties>
</file>