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A1D7B">
      <w:pPr>
        <w:spacing w:before="480" w:after="480" w:line="288" w:lineRule="auto"/>
        <w:ind w:left="0"/>
        <w:jc w:val="center"/>
        <w:rPr>
          <w:rFonts w:hint="default" w:eastAsia="等线"/>
          <w:lang w:val="en-US" w:eastAsia="zh-CN"/>
        </w:rPr>
      </w:pPr>
      <w:r>
        <w:rPr>
          <w:rFonts w:hint="eastAsia" w:ascii="Arial" w:hAnsi="Arial" w:eastAsia="等线" w:cs="Arial"/>
          <w:b/>
          <w:sz w:val="52"/>
          <w:lang w:val="en-US" w:eastAsia="zh-CN"/>
        </w:rPr>
        <w:t>广州</w:t>
      </w:r>
      <w:bookmarkStart w:id="0" w:name="_GoBack"/>
      <w:bookmarkEnd w:id="0"/>
      <w:r>
        <w:rPr>
          <w:rFonts w:ascii="Arial" w:hAnsi="Arial" w:eastAsia="等线" w:cs="Arial"/>
          <w:b/>
          <w:sz w:val="52"/>
        </w:rPr>
        <w:t>广告课-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两天知识点分享</w:t>
      </w:r>
    </w:p>
    <w:p w14:paraId="43C87E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📌 第一天 上午：AI时代平台流量解码与广告高阶打法</w:t>
      </w:r>
    </w:p>
    <w:p w14:paraId="699241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讲什么：</w:t>
      </w:r>
      <w:r>
        <w:rPr>
          <w:rFonts w:ascii="Arial" w:hAnsi="Arial" w:eastAsia="等线" w:cs="Arial"/>
          <w:sz w:val="22"/>
        </w:rPr>
        <w:t>拆解AI时代COSMO算法下流量分发&amp;排序规则、广告降本增效第一性原理与如何打造</w:t>
      </w:r>
      <w:r>
        <w:rPr>
          <w:rFonts w:ascii="Arial" w:hAnsi="Arial" w:eastAsia="等线" w:cs="Arial"/>
          <w:color w:val="D83931"/>
          <w:sz w:val="22"/>
        </w:rPr>
        <w:t>AI算法【优先推荐】的高权重Listing</w:t>
      </w:r>
      <w:r>
        <w:rPr>
          <w:rFonts w:ascii="Arial" w:hAnsi="Arial" w:eastAsia="等线" w:cs="Arial"/>
          <w:sz w:val="22"/>
        </w:rPr>
        <w:t>；同时详细拆解“COSMO×广告×Deal”三段式起量打法，结合多类目实战正反案例，拆解不同投放决策背后的经营逻辑。</w:t>
      </w:r>
    </w:p>
    <w:p w14:paraId="1F9572CF">
      <w:pPr>
        <w:spacing w:before="120" w:after="120" w:line="288" w:lineRule="auto"/>
        <w:ind w:left="0"/>
        <w:jc w:val="left"/>
      </w:pPr>
    </w:p>
    <w:p w14:paraId="46C2D9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解决问题：</w:t>
      </w:r>
      <w:r>
        <w:rPr>
          <w:rFonts w:ascii="Arial" w:hAnsi="Arial" w:eastAsia="等线" w:cs="Arial"/>
          <w:sz w:val="22"/>
        </w:rPr>
        <w:t>打破传统投放固化思维与技巧内卷误区，规避80%无效广告烧钱损耗；读懂AI最新流量规则，告别凭经验投放的盲目性；建立“广告即经营变量”的高阶认知，从根源解决投放低效、流量内卷问题，夯实爆款起量底层基础。</w:t>
      </w:r>
    </w:p>
    <w:p w14:paraId="235E4B94">
      <w:pPr>
        <w:spacing w:before="120" w:after="120" w:line="288" w:lineRule="auto"/>
        <w:ind w:left="0"/>
        <w:jc w:val="left"/>
      </w:pPr>
    </w:p>
    <w:p w14:paraId="04961F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📌 第一天 下午：新/老品广告投放及优化 🔥 </w:t>
      </w:r>
    </w:p>
    <w:p w14:paraId="72DA05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讲什么：</w:t>
      </w:r>
      <w:r>
        <w:rPr>
          <w:rFonts w:ascii="Arial" w:hAnsi="Arial" w:eastAsia="等线" w:cs="Arial"/>
          <w:sz w:val="22"/>
        </w:rPr>
        <w:t>关键词分层精细化运营体系，搭建科学广告投放架构；详解SP/SB/SD/DSP多广告类型联动组合打法，结合多类目实战案例，覆盖</w:t>
      </w:r>
      <w:r>
        <w:rPr>
          <w:rFonts w:ascii="Arial" w:hAnsi="Arial" w:eastAsia="等线" w:cs="Arial"/>
          <w:color w:val="D83931"/>
          <w:sz w:val="22"/>
        </w:rPr>
        <w:t>新品冷启动起量、老品滞涨突围、流量维稳、ROI优化</w:t>
      </w:r>
      <w:r>
        <w:rPr>
          <w:rFonts w:ascii="Arial" w:hAnsi="Arial" w:eastAsia="等线" w:cs="Arial"/>
          <w:sz w:val="22"/>
        </w:rPr>
        <w:t>等核心场景打法。</w:t>
      </w:r>
    </w:p>
    <w:p w14:paraId="51314527">
      <w:pPr>
        <w:spacing w:before="120" w:after="120" w:line="288" w:lineRule="auto"/>
        <w:ind w:left="0"/>
        <w:jc w:val="left"/>
      </w:pPr>
    </w:p>
    <w:p w14:paraId="620223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解决问题：</w:t>
      </w:r>
      <w:r>
        <w:rPr>
          <w:rFonts w:ascii="Arial" w:hAnsi="Arial" w:eastAsia="等线" w:cs="Arial"/>
          <w:sz w:val="22"/>
        </w:rPr>
        <w:t>告别模板化投放，解决新品起量慢、无流量、无转化、高客单突围难的痛点；破解老品流量瓶颈、竞品挤压、单量下滑、ROI不稳定问题；杜绝盲目选词、混投乱烧钱乱象，实现全层级流量精准布局，最大化广告投产效益。</w:t>
      </w:r>
    </w:p>
    <w:p w14:paraId="60E93DE4">
      <w:pPr>
        <w:spacing w:before="120" w:after="120" w:line="288" w:lineRule="auto"/>
        <w:ind w:left="0"/>
        <w:jc w:val="left"/>
      </w:pPr>
    </w:p>
    <w:p w14:paraId="411A61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📌 第二天 上午：全域数据复盘及年度周期盈利规划 🔥 </w:t>
      </w:r>
    </w:p>
    <w:p w14:paraId="6DC5AB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讲什么</w:t>
      </w:r>
      <w:r>
        <w:rPr>
          <w:rFonts w:ascii="Arial" w:hAnsi="Arial" w:eastAsia="等线" w:cs="Arial"/>
          <w:sz w:val="22"/>
        </w:rPr>
        <w:t>：拆解大卖店铺</w:t>
      </w:r>
      <w:r>
        <w:rPr>
          <w:rFonts w:ascii="Arial" w:hAnsi="Arial" w:eastAsia="等线" w:cs="Arial"/>
          <w:color w:val="D83931"/>
          <w:sz w:val="22"/>
        </w:rPr>
        <w:t>年度复盘逻辑与新周期落地打法</w:t>
      </w:r>
      <w:r>
        <w:rPr>
          <w:rFonts w:ascii="Arial" w:hAnsi="Arial" w:eastAsia="等线" w:cs="Arial"/>
          <w:sz w:val="22"/>
        </w:rPr>
        <w:t>；结合案例详细数据，从存量维稳、增量破局两大维度，分析市场、竞品、利润、库存核心数据；</w:t>
      </w:r>
      <w:r>
        <w:rPr>
          <w:rFonts w:ascii="Arial" w:hAnsi="Arial" w:eastAsia="等线" w:cs="Arial"/>
          <w:color w:val="D83931"/>
          <w:sz w:val="22"/>
        </w:rPr>
        <w:t>实操演示全链路数据分析方法</w:t>
      </w:r>
      <w:r>
        <w:rPr>
          <w:rFonts w:ascii="Arial" w:hAnsi="Arial" w:eastAsia="等线" w:cs="Arial"/>
          <w:sz w:val="22"/>
        </w:rPr>
        <w:t xml:space="preserve">，精准排查店铺问题、挖掘增长机会，锁定操盘核心抓手。 </w:t>
      </w:r>
    </w:p>
    <w:p w14:paraId="38FCCC8E">
      <w:pPr>
        <w:spacing w:before="120" w:after="120" w:line="288" w:lineRule="auto"/>
        <w:ind w:left="0"/>
        <w:jc w:val="left"/>
      </w:pPr>
    </w:p>
    <w:p w14:paraId="312EC5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解决问题：</w:t>
      </w:r>
      <w:r>
        <w:rPr>
          <w:rFonts w:ascii="Arial" w:hAnsi="Arial" w:eastAsia="等线" w:cs="Arial"/>
          <w:sz w:val="22"/>
        </w:rPr>
        <w:t>摆脱数据盲区与复盘流于形式的问题，全面提升</w:t>
      </w:r>
      <w:r>
        <w:rPr>
          <w:rFonts w:ascii="Arial" w:hAnsi="Arial" w:eastAsia="等线" w:cs="Arial"/>
          <w:color w:val="D83931"/>
          <w:sz w:val="22"/>
        </w:rPr>
        <w:t>全域数据分析与全局项目把控能力</w:t>
      </w:r>
      <w:r>
        <w:rPr>
          <w:rFonts w:ascii="Arial" w:hAnsi="Arial" w:eastAsia="等线" w:cs="Arial"/>
          <w:sz w:val="22"/>
        </w:rPr>
        <w:t>；掌握40亿大卖年度复盘、周期优化技巧，盘活存量流量、撬动增量增长，适配下半年大促节点高效冲刺业绩</w:t>
      </w:r>
    </w:p>
    <w:p w14:paraId="440FDE5E">
      <w:pPr>
        <w:spacing w:before="120" w:after="120" w:line="288" w:lineRule="auto"/>
        <w:ind w:left="0"/>
        <w:jc w:val="left"/>
      </w:pPr>
    </w:p>
    <w:p w14:paraId="72F3B4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📌 第二天 下午：构建可复制操盘体系</w:t>
      </w:r>
    </w:p>
    <w:p w14:paraId="63813D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讲什么：</w:t>
      </w:r>
      <w:r>
        <w:rPr>
          <w:rFonts w:ascii="Arial" w:hAnsi="Arial" w:eastAsia="等线" w:cs="Arial"/>
          <w:sz w:val="22"/>
        </w:rPr>
        <w:t>拆解高阶操盘手核心能力模型，落地可落地的日/周/月/季度标准化操盘SOP；结合</w:t>
      </w:r>
      <w:r>
        <w:rPr>
          <w:rFonts w:ascii="Arial" w:hAnsi="Arial" w:eastAsia="等线" w:cs="Arial"/>
          <w:color w:val="D83931"/>
          <w:sz w:val="22"/>
        </w:rPr>
        <w:t>5亿+GMV爆品</w:t>
      </w:r>
      <w:r>
        <w:rPr>
          <w:rFonts w:ascii="Arial" w:hAnsi="Arial" w:eastAsia="等线" w:cs="Arial"/>
          <w:sz w:val="22"/>
        </w:rPr>
        <w:t>实战案例，针对性破解新品起量难、Deal后单量暴跌、放量ROI崩盘三大高频痛点。</w:t>
      </w:r>
    </w:p>
    <w:p w14:paraId="77ABC8BF">
      <w:pPr>
        <w:spacing w:before="120" w:after="120" w:line="288" w:lineRule="auto"/>
        <w:ind w:left="0"/>
        <w:jc w:val="left"/>
      </w:pPr>
    </w:p>
    <w:p w14:paraId="47769D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解决问题：</w:t>
      </w:r>
      <w:r>
        <w:rPr>
          <w:rFonts w:ascii="Arial" w:hAnsi="Arial" w:eastAsia="等线" w:cs="Arial"/>
          <w:sz w:val="22"/>
        </w:rPr>
        <w:t>摆脱个人经验操盘局限，搭建可复制、可规模化的团队增长体系；解决高频投放痛点，摆脱焦虑；</w:t>
      </w:r>
      <w:r>
        <w:rPr>
          <w:rFonts w:ascii="Arial" w:hAnsi="Arial" w:eastAsia="等线" w:cs="Arial"/>
          <w:color w:val="D83931"/>
          <w:sz w:val="22"/>
        </w:rPr>
        <w:t>帮助创始人解放精力，实现规模化增长</w:t>
      </w:r>
      <w:r>
        <w:rPr>
          <w:rFonts w:ascii="Arial" w:hAnsi="Arial" w:eastAsia="等线" w:cs="Arial"/>
          <w:sz w:val="22"/>
        </w:rPr>
        <w:t xml:space="preserve">。 </w:t>
      </w:r>
    </w:p>
    <w:p w14:paraId="3105EE2E">
      <w:pPr>
        <w:spacing w:before="120" w:after="120" w:line="288" w:lineRule="auto"/>
        <w:ind w:left="0"/>
        <w:jc w:val="left"/>
      </w:pPr>
    </w:p>
    <w:p w14:paraId="0EE498B1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3007360" cy="77260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7360" cy="772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6EA88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131D9">
    <w:r>
      <w:pict>
        <v:shape id="PowerPlusWaterMarkObject1" o:spid="_x0000_s2049" o:spt="136" type="#_x0000_t136" style="position:absolute;left:0pt;height:24pt;width:12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path="t" trim="f" xscale="f" string=" 王小思 2535" style="font-family:Lantinghei SC Demibold;font-size:20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147B0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821</Words>
  <Characters>874</Characters>
  <TotalTime>1</TotalTime>
  <ScaleCrop>false</ScaleCrop>
  <LinksUpToDate>false</LinksUpToDate>
  <CharactersWithSpaces>888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2026-06-11T15:14:00Z</dcterms:created>
  <dc:creator>Apache POI</dc:creator>
  <cp:lastModifiedBy>於訫於妳丶</cp:lastModifiedBy>
  <dcterms:modified xsi:type="dcterms:W3CDTF">2026-06-12T02:37:08Z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eyJoZGlkIjoiYzEwNzZjNmRmNDVkNDgyMjNhOTMwNTRhMDgyZjNmZWYiLCJ1c2VySWQiOiI0MzQxMTY2MTkifQ==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7FAD0DFA04794B47A13F97FEEBB0059E_12</vt:lpwstr>
  </property>
</Properties>
</file>