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520"/>
      </w:pPr>
    </w:p>
    <w:p>
      <w:pPr>
        <w:spacing w:after="520"/>
      </w:pPr>
    </w:p>
    <w:p>
      <w:pPr>
        <w:jc w:val="center"/>
      </w:pPr>
      <w:r>
        <w:rPr>
          <w:rFonts w:ascii="Calibri" w:hAnsi="Calibri"/>
          <w:b/>
          <w:i w:val="0"/>
          <w:color w:val="294B68"/>
          <w:sz w:val="20"/>
        </w:rPr>
        <w:t>OPERATOR REFERENCE · AS OF 2026-08-01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20252B"/>
          <w:sz w:val="60"/>
        </w:rPr>
        <w:t>ACOS Evidence Playbook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6616A"/>
          <w:sz w:val="30"/>
        </w:rPr>
        <w:t>A deterministic, synthetic decision boundary for Amazon Ads replay</w:t>
      </w:r>
    </w:p>
    <w:p>
      <w:pPr>
        <w:spacing w:before="520" w:after="480"/>
        <w:jc w:val="center"/>
      </w:pPr>
      <w:r>
        <w:rPr>
          <w:rFonts w:ascii="Calibri" w:hAnsi="Calibri"/>
          <w:b/>
          <w:i w:val="0"/>
          <w:color w:val="294B68"/>
          <w:sz w:val="26"/>
        </w:rPr>
        <w:t>Observed: ACOS 28.4% → 36.9%. Unknown: whether traffic cost or conversion changed.</w:t>
      </w:r>
    </w:p>
    <w:p>
      <w:pPr>
        <w:pStyle w:val="Heading1"/>
      </w:pPr>
      <w:r>
        <w:t>Purpose and evidence boundary</w:t>
      </w:r>
    </w:p>
    <w:p>
      <w:r>
        <w:t>Use this playbook to request missing evidence and prepare a manual action draft. The values are project-authored synthetic fixtures, not customer, platform or production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294B68"/>
                <w:sz w:val="20"/>
              </w:rPr>
              <w:t>Case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20"/>
              </w:rPr>
              <w:t>CASE-AMZ-ACOS-SYNTHETIC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294B68"/>
                <w:sz w:val="20"/>
              </w:rPr>
              <w:t>Evidence grade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20"/>
              </w:rPr>
              <w:t>LO-S synthetic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294B68"/>
                <w:sz w:val="20"/>
              </w:rPr>
              <w:t>Allowed modes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20"/>
              </w:rPr>
              <w:t>read · calculate · draft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294B68"/>
                <w:sz w:val="20"/>
              </w:rPr>
              <w:t>Forbidden effects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20"/>
              </w:rPr>
              <w:t>budget, bid, targeting, send, canonical write</w:t>
            </w:r>
          </w:p>
        </w:tc>
      </w:tr>
    </w:tbl>
    <w:p>
      <w:r>
        <w:br w:type="page"/>
      </w:r>
    </w:p>
    <w:p>
      <w:pPr>
        <w:pStyle w:val="Heading1"/>
      </w:pPr>
      <w:r>
        <w:t>Decision sequence</w:t>
      </w:r>
    </w:p>
    <w:p>
      <w:r>
        <w:t>Each row is a required gate. A failed row stops the exact diagnosis and preserves only an evidence request or formula-only output.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c>
          <w:tcPr>
            <w:tcW w:type="dxa" w:w="1500"/>
            <w:shd w:fill="294B6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4560"/>
            <w:shd w:fill="294B6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check</w:t>
            </w:r>
          </w:p>
        </w:tc>
        <w:tc>
          <w:tcPr>
            <w:tcW w:type="dxa" w:w="3300"/>
            <w:shd w:fill="294B6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Failure result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1 · Align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Same attribution window, currency and reporting dates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BLOCK: WINDOW_OR_UNIT_MISMATCH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2 · Calculate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Spend and attributed sales are present; sales is non-zero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BLOCK: REQUIRED_METRIC_INPUT_MISSING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3 · Compare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Comparable CPC/CVR evidence exists before ranking causes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UNKNOWN: REQUEST_EVIDENCE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4 · Draft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Action remains manual and cites every supporting fragment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52B"/>
                <w:sz w:val="19"/>
              </w:rPr>
              <w:t>BLOCK: UNSUPPORTED_ACTION</w:t>
            </w:r>
          </w:p>
        </w:tc>
      </w:tr>
    </w:tbl>
    <w:p>
      <w:pPr>
        <w:pStyle w:val="Heading1"/>
      </w:pPr>
      <w:r>
        <w:t>Stop conditions</w:t>
      </w:r>
    </w:p>
    <w:p>
      <w:r>
        <w:rPr>
          <w:b/>
        </w:rPr>
        <w:t xml:space="preserve">Do not output an exact optimization when: </w:t>
      </w:r>
      <w:r>
        <w:t>attribution windows differ; currency differs; sales is zero; required metrics are absent; evidence is expired or contested; or an action would require an external write.</w:t>
      </w:r>
    </w:p>
    <w:p>
      <w:pPr>
        <w:pStyle w:val="Heading1"/>
      </w:pPr>
      <w:r>
        <w:t>Permitted output</w:t>
      </w:r>
    </w:p>
    <w:p>
      <w:r>
        <w:t>Return facts, inferences, unknowns, the ACOS formula and comparable windows, an evidence request, manual options, risks, stop conditions and approval requirements. External calls and side effects must remain zero.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16A"/>
        <w:sz w:val="18"/>
      </w:rPr>
      <w:t>LO-S synthetic · no external writes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6616A"/>
        <w:sz w:val="18"/>
      </w:rPr>
      <w:t>MKD · SYNTHETIC REFERENCE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94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94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ACOS evidence playbook</dc:title>
  <dc:subject>MKD M1-B structure-aware DOCX fixture</dc:subject>
  <dc:creator>MKD synthetic fixture</dc:creator>
  <cp:keywords/>
  <dc:description>generated by python-docx</dc:description>
  <cp:lastModifiedBy/>
  <cp:revision>1</cp:revision>
  <dcterms:created xsi:type="dcterms:W3CDTF">2026-08-01T00:00:00Z</dcterms:created>
  <dcterms:modified xsi:type="dcterms:W3CDTF">2026-08-01T00:00:00Z</dcterms:modified>
  <cp:category/>
</cp:coreProperties>
</file>