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手写文字识别系统(HTR)—— 第三周进度汇报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汇报人:张加豪    项目:基于深度学习的手写文字识别系统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一、本周工作概述</w:t>
      </w:r>
    </w:p>
    <w:p>
      <w:r>
        <w:rPr>
          <w:rFonts w:ascii="微软雅黑" w:hAnsi="微软雅黑" w:eastAsia="微软雅黑"/>
          <w:b w:val="0"/>
          <w:sz w:val="22"/>
        </w:rPr>
        <w:t>本周进入真正的 Handwriting Text Recognition 任务:从图像直接识别出不定长的单词文本,完成了 CRNN 模型的搭建、CTC Loss 的训练,以及识别结果的可视化分析。</w:t>
      </w:r>
    </w:p>
    <w:p>
      <w:r>
        <w:rPr>
          <w:rFonts w:ascii="微软雅黑" w:hAnsi="微软雅黑" w:eastAsia="微软雅黑"/>
          <w:b/>
          <w:sz w:val="22"/>
        </w:rPr>
        <w:t>核心成果:在 IAM 单词级测试集上达到 CER 11.16%、WER 26.67%,整词完全正确率 73.33%。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解析 IAM 数据集,采用学术界通用的 Aachen 划分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实现 CRNN 模型(CNN + BiLSTM),理解图像 → 特征序列 → 文本的完整链路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理解并应用 CTC Loss 解决「图像宽度与字符数不定长对齐」问题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完成基准实验与数据增强对照实验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 5,417 个失败样本做归因分析,输出正确/失败案例可视化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二、数据集:IAM Handwriting Database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来源:官方 IAM(FKI, Bern),单词级 words.tgz + 标签 ascii.tgz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规模:115,320 张单词图像,其中切分正确的(ok)96,456 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划分:学术通用的 Aachen 划分(OpenSLR 56)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图像:灰度、白底黑字、尺寸可变,按「写手/表单」分层存放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2.1 数据划分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划分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训练集 train</w:t>
            </w:r>
          </w:p>
        </w:tc>
        <w:tc>
          <w:tcPr>
            <w:tcW w:type="dxa" w:w="2880"/>
          </w:tcPr>
          <w:p>
            <w:r>
              <w:t>47,999</w:t>
            </w:r>
          </w:p>
        </w:tc>
        <w:tc>
          <w:tcPr>
            <w:tcW w:type="dxa" w:w="2880"/>
          </w:tcPr>
          <w:p>
            <w:r>
              <w:t>用于学习模型参数</w:t>
            </w:r>
          </w:p>
        </w:tc>
      </w:tr>
      <w:tr>
        <w:tc>
          <w:tcPr>
            <w:tcW w:type="dxa" w:w="2880"/>
          </w:tcPr>
          <w:p>
            <w:r>
              <w:t>验证集 validation</w:t>
            </w:r>
          </w:p>
        </w:tc>
        <w:tc>
          <w:tcPr>
            <w:tcW w:type="dxa" w:w="2880"/>
          </w:tcPr>
          <w:p>
            <w:r>
              <w:t>7,559</w:t>
            </w:r>
          </w:p>
        </w:tc>
        <w:tc>
          <w:tcPr>
            <w:tcW w:type="dxa" w:w="2880"/>
          </w:tcPr>
          <w:p>
            <w:r>
              <w:t>训练中监控,选择最优模型</w:t>
            </w:r>
          </w:p>
        </w:tc>
      </w:tr>
      <w:tr>
        <w:tc>
          <w:tcPr>
            <w:tcW w:type="dxa" w:w="2880"/>
          </w:tcPr>
          <w:p>
            <w:r>
              <w:t>测试集 test</w:t>
            </w:r>
          </w:p>
        </w:tc>
        <w:tc>
          <w:tcPr>
            <w:tcW w:type="dxa" w:w="2880"/>
          </w:tcPr>
          <w:p>
            <w:r>
              <w:t>20,310</w:t>
            </w:r>
          </w:p>
        </w:tc>
        <w:tc>
          <w:tcPr>
            <w:tcW w:type="dxa" w:w="2880"/>
          </w:tcPr>
          <w:p>
            <w:r>
              <w:t>最终评估,只使用一次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注:该划分与文献常引用的 47,952 / 7,558 / 20,306 基本一致,因此本实验结果可与论文直接对比。</w:t>
      </w:r>
    </w:p>
    <w:p>
      <w:r>
        <w:rPr>
          <w:rFonts w:ascii="微软雅黑" w:hAnsi="微软雅黑" w:eastAsia="微软雅黑"/>
          <w:b w:val="0"/>
          <w:sz w:val="22"/>
        </w:rPr>
        <w:t>补充说明:数据集规模的来龙去脉 —— IAM 共 115,320 张单词图像,其中切分正确(ok)的 96,456 条;Aachen 划分只覆盖 1,199 个表单(训练 747 + 验证 116 + 测试 336),因此最终纳入实验的 ok 单词为 75,868 条,另有 20,588 条因所属表单不在该划分内而未使用。这是学术界为统一对比基准而做的取舍,使不同论文的结果具备可比性。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2.2 定位并解决的两个数据问题</w:t>
      </w:r>
    </w:p>
    <w:p>
      <w:r>
        <w:rPr>
          <w:rFonts w:ascii="微软雅黑" w:hAnsi="微软雅黑" w:eastAsia="微软雅黑"/>
          <w:b w:val="0"/>
          <w:sz w:val="22"/>
        </w:rPr>
        <w:t>问题一:损坏文件导致训练中断。</w:t>
      </w:r>
    </w:p>
    <w:p>
      <w:r>
        <w:rPr>
          <w:rFonts w:ascii="微软雅黑" w:hAnsi="微软雅黑" w:eastAsia="微软雅黑"/>
          <w:b w:val="0"/>
          <w:sz w:val="22"/>
        </w:rPr>
        <w:t>IAM 压缩包内存在极少量 0 字节的空 PNG 文件(如 a01-117-05-02.png),直接读取会抛出 UnidentifiedImageError 并中断整个训练过程。本项目在数据集的取数逻辑中加入容错:遇到损坏文件时自动顺延到相邻的可用样本,保证训练不中断。</w:t>
      </w:r>
    </w:p>
    <w:p>
      <w:r>
        <w:rPr>
          <w:rFonts w:ascii="微软雅黑" w:hAnsi="微软雅黑" w:eastAsia="微软雅黑"/>
          <w:b w:val="0"/>
          <w:sz w:val="22"/>
        </w:rPr>
        <w:t>问题二:划分是按「表单」而非按「单词」。</w:t>
      </w:r>
    </w:p>
    <w:p>
      <w:r>
        <w:rPr>
          <w:rFonts w:ascii="微软雅黑" w:hAnsi="微软雅黑" w:eastAsia="微软雅黑"/>
          <w:b w:val="0"/>
          <w:sz w:val="22"/>
        </w:rPr>
        <w:t>划分文件(.uttlist)中记录的是表单 ID(如 a01-000u),需要先把单词 ID 映射到所属表单(a01-000u-00-00 → a01-000u)才能判断归属。注意表单 ID 长度并不固定(a01-000u 为 9 字符而 a01-003 为 7 字符),不能按固定长度截取。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三、模型结构与核心原理</w:t>
      </w:r>
    </w:p>
    <w:p>
      <w:r>
        <w:rPr>
          <w:rFonts w:ascii="微软雅黑" w:hAnsi="微软雅黑" w:eastAsia="微软雅黑"/>
          <w:b w:val="0"/>
          <w:sz w:val="22"/>
        </w:rPr>
        <w:t>整体流程:Image → CNN → Feature Sequence → BiLSTM → CTC Decoder → Text</w:t>
      </w:r>
    </w:p>
    <w:p>
      <w:r>
        <w:rPr>
          <w:rFonts w:ascii="Consolas" w:hAnsi="Consolas" w:eastAsia="Consolas"/>
          <w:sz w:val="18"/>
        </w:rPr>
        <w:t>输入 [N, 1, 32, 192]                         # 等比缩放到高 32,定宽 192 补白边</w:t>
        <w:br/>
        <w:t xml:space="preserve">  ↓ CNN(宽度方向共下采样 4 倍,得到 T=48 个时间步)</w:t>
        <w:br/>
        <w:t xml:space="preserve">  Conv(1→64)    + BN + ReLU + MaxPool(2,2)    # 32×192 → 16×96</w:t>
        <w:br/>
        <w:t xml:space="preserve">  Conv(64→128)  + BN + ReLU + MaxPool(2,2)    # 16×96  → 8×48</w:t>
        <w:br/>
        <w:t xml:space="preserve">  Conv(128→256) + BN + ReLU</w:t>
        <w:br/>
        <w:t xml:space="preserve">  Conv(256→256) + BN + ReLU + MaxPool((2,1))  # 8×48   → 4×48</w:t>
        <w:br/>
        <w:t xml:space="preserve">  Conv(256→256) + BN + ReLU + MaxPool((2,1))  # 4×48   → 2×48</w:t>
        <w:br/>
        <w:t xml:space="preserve">  ↓ 特征序列化:[N,256,2,48] → [48, N, 512]</w:t>
        <w:br/>
        <w:t xml:space="preserve">  ↓ BiLSTM(512 → 256,2 层,双向)</w:t>
        <w:br/>
        <w:t xml:space="preserve">  ↓ Linear(512 → 词表大小 79)</w:t>
        <w:br/>
        <w:t>输出 [48, N, 79] 的逐时间步 logits</w:t>
      </w:r>
    </w:p>
    <w:p>
      <w:r>
        <w:rPr>
          <w:rFonts w:ascii="微软雅黑" w:hAnsi="微软雅黑" w:eastAsia="微软雅黑"/>
          <w:b w:val="0"/>
          <w:sz w:val="22"/>
        </w:rPr>
        <w:t>关键设计:CNN 只在高度方向做额外池化,宽度方向仅下采样 4 倍,使每个时间步对应图像的一小段水平区域,从而保留序列信息。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3.1 CTC Loss 解决什么问题</w:t>
      </w:r>
    </w:p>
    <w:p>
      <w:r>
        <w:rPr>
          <w:rFonts w:ascii="微软雅黑" w:hAnsi="微软雅黑" w:eastAsia="微软雅黑"/>
          <w:b w:val="0"/>
          <w:sz w:val="22"/>
        </w:rPr>
        <w:t>手写识别中,图像宽度与字符数没有固定比例关系(同一个词可能写得又宽又窄),无法像分类任务那样「一个输入对应一个标签」。CTC 的做法是: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允许模型在每个时间步输出一个字符或 blank(空白符);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定义「多对一」映射:如 h h - e l - l o - 与 h - e e l l - o 都折叠为 hello(先合并连续重复,再删除 blank);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训练目标是让所有能折叠成正确文本的路径的概率之和最大。</w:t>
      </w:r>
    </w:p>
    <w:p>
      <w:r>
        <w:rPr>
          <w:rFonts w:ascii="微软雅黑" w:hAnsi="微软雅黑" w:eastAsia="微软雅黑"/>
          <w:b w:val="0"/>
          <w:sz w:val="22"/>
        </w:rPr>
        <w:t>这样模型自行学会「哪里输出、哪里空着」,无需人工标注每个字符的位置。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四、实验设置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t>图像尺寸</w:t>
            </w:r>
          </w:p>
        </w:tc>
        <w:tc>
          <w:tcPr>
            <w:tcW w:type="dxa" w:w="4320"/>
          </w:tcPr>
          <w:p>
            <w:r>
              <w:t>32 × 192(等比缩放 + 白边填充)</w:t>
            </w:r>
          </w:p>
        </w:tc>
      </w:tr>
      <w:tr>
        <w:tc>
          <w:tcPr>
            <w:tcW w:type="dxa" w:w="4320"/>
          </w:tcPr>
          <w:p>
            <w:r>
              <w:t>模型参数量</w:t>
            </w:r>
          </w:p>
        </w:tc>
        <w:tc>
          <w:tcPr>
            <w:tcW w:type="dxa" w:w="4320"/>
          </w:tcPr>
          <w:p>
            <w:r>
              <w:t>4,746,191</w:t>
            </w:r>
          </w:p>
        </w:tc>
      </w:tr>
      <w:tr>
        <w:tc>
          <w:tcPr>
            <w:tcW w:type="dxa" w:w="4320"/>
          </w:tcPr>
          <w:p>
            <w:r>
              <w:t>词表大小(含 blank)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优化器 / 学习率</w:t>
            </w:r>
          </w:p>
        </w:tc>
        <w:tc>
          <w:tcPr>
            <w:tcW w:type="dxa" w:w="4320"/>
          </w:tcPr>
          <w:p>
            <w:r>
              <w:t>Adam / 0.001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训练轮数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损失函数</w:t>
            </w:r>
          </w:p>
        </w:tc>
        <w:tc>
          <w:tcPr>
            <w:tcW w:type="dxa" w:w="4320"/>
          </w:tcPr>
          <w:p>
            <w:r>
              <w:t>CTCLoss(blank=0, zero_infinity=True)</w:t>
            </w:r>
          </w:p>
        </w:tc>
      </w:tr>
      <w:tr>
        <w:tc>
          <w:tcPr>
            <w:tcW w:type="dxa" w:w="4320"/>
          </w:tcPr>
          <w:p>
            <w:r>
              <w:t>解码方式</w:t>
            </w:r>
          </w:p>
        </w:tc>
        <w:tc>
          <w:tcPr>
            <w:tcW w:type="dxa" w:w="4320"/>
          </w:tcPr>
          <w:p>
            <w:r>
              <w:t>贪心解码(每步取最大概率 → 合并重复 → 去 blank)</w:t>
            </w:r>
          </w:p>
        </w:tc>
      </w:tr>
      <w:tr>
        <w:tc>
          <w:tcPr>
            <w:tcW w:type="dxa" w:w="4320"/>
          </w:tcPr>
          <w:p>
            <w:r>
              <w:t>学习率调度</w:t>
            </w:r>
          </w:p>
        </w:tc>
        <w:tc>
          <w:tcPr>
            <w:tcW w:type="dxa" w:w="4320"/>
          </w:tcPr>
          <w:p>
            <w:r>
              <w:t>ReduceLROnPlateau(按验证 CER 衰减)</w:t>
            </w:r>
          </w:p>
        </w:tc>
      </w:tr>
      <w:tr>
        <w:tc>
          <w:tcPr>
            <w:tcW w:type="dxa" w:w="4320"/>
          </w:tcPr>
          <w:p>
            <w:r>
              <w:t>梯度裁剪</w:t>
            </w:r>
          </w:p>
        </w:tc>
        <w:tc>
          <w:tcPr>
            <w:tcW w:type="dxa" w:w="4320"/>
          </w:tcPr>
          <w:p>
            <w:r>
              <w:t>clip_grad_norm_(max_norm=5.0)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说明:CTC 与 RNN 组合容易梯度爆炸,梯度裁剪是训练稳定的关键;词表仅由训练集构建,避免验证/测试集信息泄漏。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五、实验结果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测试集 CER(字符错误率)</w:t>
            </w:r>
          </w:p>
        </w:tc>
        <w:tc>
          <w:tcPr>
            <w:tcW w:type="dxa" w:w="2880"/>
          </w:tcPr>
          <w:p>
            <w:r>
              <w:t>11.16%</w:t>
            </w:r>
          </w:p>
        </w:tc>
        <w:tc>
          <w:tcPr>
            <w:tcW w:type="dxa" w:w="2880"/>
          </w:tcPr>
          <w:p>
            <w:r>
              <w:t>平均每词错几个字符,学术界主指标</w:t>
            </w:r>
          </w:p>
        </w:tc>
      </w:tr>
      <w:tr>
        <w:tc>
          <w:tcPr>
            <w:tcW w:type="dxa" w:w="2880"/>
          </w:tcPr>
          <w:p>
            <w:r>
              <w:t>测试集 WER(单词错误率)</w:t>
            </w:r>
          </w:p>
        </w:tc>
        <w:tc>
          <w:tcPr>
            <w:tcW w:type="dxa" w:w="2880"/>
          </w:tcPr>
          <w:p>
            <w:r>
              <w:t>26.67%</w:t>
            </w:r>
          </w:p>
        </w:tc>
        <w:tc>
          <w:tcPr>
            <w:tcW w:type="dxa" w:w="2880"/>
          </w:tcPr>
          <w:p>
            <w:r>
              <w:t>整词识别错误的比例</w:t>
            </w:r>
          </w:p>
        </w:tc>
      </w:tr>
      <w:tr>
        <w:tc>
          <w:tcPr>
            <w:tcW w:type="dxa" w:w="2880"/>
          </w:tcPr>
          <w:p>
            <w:r>
              <w:t>整词完全正确率</w:t>
            </w:r>
          </w:p>
        </w:tc>
        <w:tc>
          <w:tcPr>
            <w:tcW w:type="dxa" w:w="2880"/>
          </w:tcPr>
          <w:p>
            <w:r>
              <w:t>73.33%</w:t>
            </w:r>
          </w:p>
        </w:tc>
        <w:tc>
          <w:tcPr>
            <w:tcW w:type="dxa" w:w="2880"/>
          </w:tcPr>
          <w:p>
            <w:r>
              <w:t>一字不差的比例,最直观</w:t>
            </w:r>
          </w:p>
        </w:tc>
      </w:tr>
      <w:tr>
        <w:tc>
          <w:tcPr>
            <w:tcW w:type="dxa" w:w="2880"/>
          </w:tcPr>
          <w:p>
            <w:r>
              <w:t>最优验证 CER</w:t>
            </w:r>
          </w:p>
        </w:tc>
        <w:tc>
          <w:tcPr>
            <w:tcW w:type="dxa" w:w="2880"/>
          </w:tcPr>
          <w:p>
            <w:r>
              <w:t>8.12%</w:t>
            </w:r>
          </w:p>
        </w:tc>
        <w:tc>
          <w:tcPr>
            <w:tcW w:type="dxa" w:w="2880"/>
          </w:tcPr>
          <w:p>
            <w:r>
              <w:t>训练过程中验证集最优值</w:t>
            </w:r>
          </w:p>
        </w:tc>
      </w:tr>
      <w:tr>
        <w:tc>
          <w:tcPr>
            <w:tcW w:type="dxa" w:w="2880"/>
          </w:tcPr>
          <w:p>
            <w:r>
              <w:t>训练总耗时</w:t>
            </w:r>
          </w:p>
        </w:tc>
        <w:tc>
          <w:tcPr>
            <w:tcW w:type="dxa" w:w="2880"/>
          </w:tcPr>
          <w:p>
            <w:r>
              <w:t>61.6 分钟</w:t>
            </w:r>
          </w:p>
        </w:tc>
        <w:tc>
          <w:tcPr>
            <w:tcW w:type="dxa" w:w="2880"/>
          </w:tcPr>
          <w:p>
            <w:r>
              <w:t>RTX 3050 Laptop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CER 随训练轮次的变化(验证集):</w:t>
      </w:r>
    </w:p>
    <w:p>
      <w:r>
        <w:rPr>
          <w:rFonts w:ascii="Consolas" w:hAnsi="Consolas" w:eastAsia="Consolas"/>
          <w:sz w:val="18"/>
        </w:rPr>
        <w:t xml:space="preserve">  66 → 34 → 21 → 17 → 14 → 13 → 11 → 12 → 11 → 10 → 11 → 11 → ... → 8 (%)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5.1 训练过程中的典型现象</w:t>
      </w:r>
    </w:p>
    <w:p>
      <w:r>
        <w:rPr>
          <w:rFonts w:ascii="微软雅黑" w:hAnsi="微软雅黑" w:eastAsia="微软雅黑"/>
          <w:b w:val="0"/>
          <w:sz w:val="22"/>
        </w:rPr>
        <w:t>训练初期 CER 长时间停留在 100%,这并非代码问题:CTC 需要先学会「输出 blank」,再逐渐学会「在正确位置输出字符」,通常要若干轮后 CER 才开始下降。因此判断训练是否正常,应看损失是否稳定下降,而不是前几轮的 CER。</w:t>
      </w:r>
    </w:p>
    <w:p>
      <w:r>
        <w:rPr>
          <w:rFonts w:ascii="微软雅黑" w:hAnsi="微软雅黑" w:eastAsia="微软雅黑"/>
          <w:b w:val="0"/>
          <w:sz w:val="22"/>
        </w:rPr>
        <w:t>训练后期损失降至接近 0,而验证 CER 稳定在 8% 左右——模型对训练集出现明显过拟合。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70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图1 训练损失与验证错误率曲线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六、数据增强对照实验</w:t>
      </w:r>
    </w:p>
    <w:p>
      <w:r>
        <w:rPr>
          <w:rFonts w:ascii="微软雅黑" w:hAnsi="微软雅黑" w:eastAsia="微软雅黑"/>
          <w:b w:val="0"/>
          <w:sz w:val="22"/>
        </w:rPr>
        <w:t>针对上述过拟合现象,额外训练了一个加数据增强的版本(轻量 RandomAffine:旋转 ±2°、平移 2%),其余设置完全一致。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无增强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加增强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最优验证 CER</w:t>
            </w:r>
          </w:p>
        </w:tc>
        <w:tc>
          <w:tcPr>
            <w:tcW w:type="dxa" w:w="2160"/>
          </w:tcPr>
          <w:p>
            <w:r>
              <w:t>8.12%</w:t>
            </w:r>
          </w:p>
        </w:tc>
        <w:tc>
          <w:tcPr>
            <w:tcW w:type="dxa" w:w="2160"/>
          </w:tcPr>
          <w:p>
            <w:r>
              <w:t>7.75%</w:t>
            </w:r>
          </w:p>
        </w:tc>
        <w:tc>
          <w:tcPr>
            <w:tcW w:type="dxa" w:w="2160"/>
          </w:tcPr>
          <w:p>
            <w:r>
              <w:t>-0.37</w:t>
            </w:r>
          </w:p>
        </w:tc>
      </w:tr>
      <w:tr>
        <w:tc>
          <w:tcPr>
            <w:tcW w:type="dxa" w:w="2160"/>
          </w:tcPr>
          <w:p>
            <w:r>
              <w:t>测试集 CER</w:t>
            </w:r>
          </w:p>
        </w:tc>
        <w:tc>
          <w:tcPr>
            <w:tcW w:type="dxa" w:w="2160"/>
          </w:tcPr>
          <w:p>
            <w:r>
              <w:t>11.16%</w:t>
            </w:r>
          </w:p>
        </w:tc>
        <w:tc>
          <w:tcPr>
            <w:tcW w:type="dxa" w:w="2160"/>
          </w:tcPr>
          <w:p>
            <w:r>
              <w:t>11.05%</w:t>
            </w:r>
          </w:p>
        </w:tc>
        <w:tc>
          <w:tcPr>
            <w:tcW w:type="dxa" w:w="2160"/>
          </w:tcPr>
          <w:p>
            <w:r>
              <w:t>-0.12</w:t>
            </w:r>
          </w:p>
        </w:tc>
      </w:tr>
      <w:tr>
        <w:tc>
          <w:tcPr>
            <w:tcW w:type="dxa" w:w="2160"/>
          </w:tcPr>
          <w:p>
            <w:r>
              <w:t>测试集 WER</w:t>
            </w:r>
          </w:p>
        </w:tc>
        <w:tc>
          <w:tcPr>
            <w:tcW w:type="dxa" w:w="2160"/>
          </w:tcPr>
          <w:p>
            <w:r>
              <w:t>26.67%</w:t>
            </w:r>
          </w:p>
        </w:tc>
        <w:tc>
          <w:tcPr>
            <w:tcW w:type="dxa" w:w="2160"/>
          </w:tcPr>
          <w:p>
            <w:r>
              <w:t>26.42%</w:t>
            </w:r>
          </w:p>
        </w:tc>
        <w:tc>
          <w:tcPr>
            <w:tcW w:type="dxa" w:w="2160"/>
          </w:tcPr>
          <w:p>
            <w:r>
              <w:t>-0.25</w:t>
            </w:r>
          </w:p>
        </w:tc>
      </w:tr>
      <w:tr>
        <w:tc>
          <w:tcPr>
            <w:tcW w:type="dxa" w:w="2160"/>
          </w:tcPr>
          <w:p>
            <w:r>
              <w:t>末轮训练损失</w:t>
            </w:r>
          </w:p>
        </w:tc>
        <w:tc>
          <w:tcPr>
            <w:tcW w:type="dxa" w:w="2160"/>
          </w:tcPr>
          <w:p>
            <w:r>
              <w:t>0.0105</w:t>
            </w:r>
          </w:p>
        </w:tc>
        <w:tc>
          <w:tcPr>
            <w:tcW w:type="dxa" w:w="2160"/>
          </w:tcPr>
          <w:p>
            <w:r>
              <w:t>0.1026</w:t>
            </w:r>
          </w:p>
        </w:tc>
        <w:tc>
          <w:tcPr>
            <w:tcW w:type="dxa" w:w="2160"/>
          </w:tcPr>
          <w:p>
            <w:r>
              <w:t>约 10 倍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结论:增强把训练损失从 0.01 拉高到 0.10(约 10 倍),说明它确实抑制了过拟合,模型不再死记训练集;但测试 CER 仅改善 0.12 个百分点,几乎没有实质提升。</w:t>
      </w:r>
    </w:p>
    <w:p>
      <w:r>
        <w:rPr>
          <w:rFonts w:ascii="微软雅黑" w:hAnsi="微软雅黑" w:eastAsia="微软雅黑"/>
          <w:b/>
          <w:sz w:val="22"/>
        </w:rPr>
        <w:t>这说明剩余误差的主要来源不是过拟合,而是任务本身的固有难度: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形近字母存在天然歧义(a/o、n/m、s/r),即使不背题也难以区分;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写手差异——Aachen 划分按写手切分,测试集写手在训练时从未见过。验证集(7.75%)与测试集(11.05%)之间约 3.3 个百分点的差距在加增强后依然存在,印证这是跨写手泛化难度而非过拟合。</w:t>
      </w:r>
    </w:p>
    <w:p>
      <w:r>
        <w:rPr>
          <w:rFonts w:ascii="微软雅黑" w:hAnsi="微软雅黑" w:eastAsia="微软雅黑"/>
          <w:b w:val="0"/>
          <w:sz w:val="22"/>
        </w:rPr>
        <w:t>即:数据增强治的是过拟合,治不了任务本身的歧义性。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七、失败案例分析</w:t>
      </w:r>
    </w:p>
    <w:p>
      <w:r>
        <w:rPr>
          <w:rFonts w:ascii="微软雅黑" w:hAnsi="微软雅黑" w:eastAsia="微软雅黑"/>
          <w:b w:val="0"/>
          <w:sz w:val="22"/>
        </w:rPr>
        <w:t>任务书要求展示正确案例与失败案例分析,本节对测试集的 5,417 个失败样本做归因。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7.1 错误按类型分布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错误类型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长度相同(字符替换/混淆)</w:t>
            </w:r>
          </w:p>
        </w:tc>
        <w:tc>
          <w:tcPr>
            <w:tcW w:type="dxa" w:w="2880"/>
          </w:tcPr>
          <w:p>
            <w:r>
              <w:t>3369 次</w:t>
            </w:r>
          </w:p>
        </w:tc>
        <w:tc>
          <w:tcPr>
            <w:tcW w:type="dxa" w:w="2880"/>
          </w:tcPr>
          <w:p>
            <w:r>
              <w:t>62.2%</w:t>
            </w:r>
          </w:p>
        </w:tc>
      </w:tr>
      <w:tr>
        <w:tc>
          <w:tcPr>
            <w:tcW w:type="dxa" w:w="2880"/>
          </w:tcPr>
          <w:p>
            <w:r>
              <w:t>漏字(预测比真值短)</w:t>
            </w:r>
          </w:p>
        </w:tc>
        <w:tc>
          <w:tcPr>
            <w:tcW w:type="dxa" w:w="2880"/>
          </w:tcPr>
          <w:p>
            <w:r>
              <w:t>1277 次</w:t>
            </w:r>
          </w:p>
        </w:tc>
        <w:tc>
          <w:tcPr>
            <w:tcW w:type="dxa" w:w="2880"/>
          </w:tcPr>
          <w:p>
            <w:r>
              <w:t>23.6%</w:t>
            </w:r>
          </w:p>
        </w:tc>
      </w:tr>
      <w:tr>
        <w:tc>
          <w:tcPr>
            <w:tcW w:type="dxa" w:w="2880"/>
          </w:tcPr>
          <w:p>
            <w:r>
              <w:t>多字(预测比真值长)</w:t>
            </w:r>
          </w:p>
        </w:tc>
        <w:tc>
          <w:tcPr>
            <w:tcW w:type="dxa" w:w="2880"/>
          </w:tcPr>
          <w:p>
            <w:r>
              <w:t>771 次</w:t>
            </w:r>
          </w:p>
        </w:tc>
        <w:tc>
          <w:tcPr>
            <w:tcW w:type="dxa" w:w="2880"/>
          </w:tcPr>
          <w:p>
            <w:r>
              <w:t>14.2%</w:t>
            </w:r>
          </w:p>
        </w:tc>
      </w:tr>
      <w:tr>
        <w:tc>
          <w:tcPr>
            <w:tcW w:type="dxa" w:w="2880"/>
          </w:tcPr>
          <w:p>
            <w:r>
              <w:t>仅大小写不同</w:t>
            </w:r>
          </w:p>
        </w:tc>
        <w:tc>
          <w:tcPr>
            <w:tcW w:type="dxa" w:w="2880"/>
          </w:tcPr>
          <w:p>
            <w:r>
              <w:t>189 次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7.2 最常见的字符混淆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真值 → 预测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字形差异</w:t>
            </w:r>
          </w:p>
        </w:tc>
      </w:tr>
      <w:tr>
        <w:tc>
          <w:tcPr>
            <w:tcW w:type="dxa" w:w="2880"/>
          </w:tcPr>
          <w:p>
            <w:r>
              <w:t>a → o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o → a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t → l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s → 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u → n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r → n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n → 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r → 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s → n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  <w:tr>
        <w:tc>
          <w:tcPr>
            <w:tcW w:type="dxa" w:w="2880"/>
          </w:tcPr>
          <w:p>
            <w:r>
              <w:t>n → r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仅差一笔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规律:错误几乎全部发生在「字形相近、仅差一笔」的字母之间。这与第 1 周 MNIST 的发现高度一致(当时的错误是 4→9、3→5、2↔7 等形近数字),说明形近字符混淆是手写识别任务的共性难点,与模型规模、任务复杂度无关。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7.3 典型失败样例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真值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问题分析</w:t>
            </w:r>
          </w:p>
        </w:tc>
      </w:tr>
      <w:tr>
        <w:tc>
          <w:tcPr>
            <w:tcW w:type="dxa" w:w="2880"/>
          </w:tcPr>
          <w:p>
            <w:r>
              <w:t>Marie</w:t>
            </w:r>
          </w:p>
        </w:tc>
        <w:tc>
          <w:tcPr>
            <w:tcW w:type="dxa" w:w="2880"/>
          </w:tcPr>
          <w:p>
            <w:r>
              <w:t>Marse</w:t>
            </w:r>
          </w:p>
        </w:tc>
        <w:tc>
          <w:tcPr>
            <w:tcW w:type="dxa" w:w="2880"/>
          </w:tcPr>
          <w:p>
            <w:r>
              <w:t>形近字母混淆</w:t>
            </w:r>
          </w:p>
        </w:tc>
      </w:tr>
      <w:tr>
        <w:tc>
          <w:tcPr>
            <w:tcW w:type="dxa" w:w="2880"/>
          </w:tcPr>
          <w:p>
            <w:r>
              <w:t>changes</w:t>
            </w:r>
          </w:p>
        </w:tc>
        <w:tc>
          <w:tcPr>
            <w:tcW w:type="dxa" w:w="2880"/>
          </w:tcPr>
          <w:p>
            <w:r>
              <w:t>cronges</w:t>
            </w:r>
          </w:p>
        </w:tc>
        <w:tc>
          <w:tcPr>
            <w:tcW w:type="dxa" w:w="2880"/>
          </w:tcPr>
          <w:p>
            <w:r>
              <w:t>形近字母混淆</w:t>
            </w:r>
          </w:p>
        </w:tc>
      </w:tr>
      <w:tr>
        <w:tc>
          <w:tcPr>
            <w:tcW w:type="dxa" w:w="2880"/>
          </w:tcPr>
          <w:p>
            <w:r>
              <w:t>tempo</w:t>
            </w:r>
          </w:p>
        </w:tc>
        <w:tc>
          <w:tcPr>
            <w:tcW w:type="dxa" w:w="2880"/>
          </w:tcPr>
          <w:p>
            <w:r>
              <w:t>hempo</w:t>
            </w:r>
          </w:p>
        </w:tc>
        <w:tc>
          <w:tcPr>
            <w:tcW w:type="dxa" w:w="2880"/>
          </w:tcPr>
          <w:p>
            <w:r>
              <w:t>形近字母混淆</w:t>
            </w:r>
          </w:p>
        </w:tc>
      </w:tr>
      <w:tr>
        <w:tc>
          <w:tcPr>
            <w:tcW w:type="dxa" w:w="2880"/>
          </w:tcPr>
          <w:p>
            <w:r>
              <w:t>mid-way</w:t>
            </w:r>
          </w:p>
        </w:tc>
        <w:tc>
          <w:tcPr>
            <w:tcW w:type="dxa" w:w="2880"/>
          </w:tcPr>
          <w:p>
            <w:r>
              <w:t>midway</w:t>
            </w:r>
          </w:p>
        </w:tc>
        <w:tc>
          <w:tcPr>
            <w:tcW w:type="dxa" w:w="2880"/>
          </w:tcPr>
          <w:p>
            <w:r>
              <w:t>漏字</w:t>
            </w:r>
          </w:p>
        </w:tc>
      </w:tr>
      <w:tr>
        <w:tc>
          <w:tcPr>
            <w:tcW w:type="dxa" w:w="2880"/>
          </w:tcPr>
          <w:p>
            <w:r>
              <w:t>CHRIS</w:t>
            </w:r>
          </w:p>
        </w:tc>
        <w:tc>
          <w:tcPr>
            <w:tcW w:type="dxa" w:w="2880"/>
          </w:tcPr>
          <w:p>
            <w:r>
              <w:t>ChR'sS</w:t>
            </w:r>
          </w:p>
        </w:tc>
        <w:tc>
          <w:tcPr>
            <w:tcW w:type="dxa" w:w="2880"/>
          </w:tcPr>
          <w:p>
            <w:r>
              <w:t>多字</w:t>
            </w:r>
          </w:p>
        </w:tc>
      </w:tr>
      <w:tr>
        <w:tc>
          <w:tcPr>
            <w:tcW w:type="dxa" w:w="2880"/>
          </w:tcPr>
          <w:p>
            <w:r>
              <w:t>Stockton-on-Tees</w:t>
            </w:r>
          </w:p>
        </w:tc>
        <w:tc>
          <w:tcPr>
            <w:tcW w:type="dxa" w:w="2880"/>
          </w:tcPr>
          <w:p>
            <w:r>
              <w:t>Shoculon-on-Fees</w:t>
            </w:r>
          </w:p>
        </w:tc>
        <w:tc>
          <w:tcPr>
            <w:tcW w:type="dxa" w:w="2880"/>
          </w:tcPr>
          <w:p>
            <w:r>
              <w:t>形近字母混淆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失败集中在三类:(1) 形近字母混淆;(2) 长词及含连字符/标点的词;(3) 全大写等非典型大小写模式。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6"/>
        </w:rPr>
        <w:t>7.4 正确与失败案例可视化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234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_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3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图2 正确识别案例(绿字标注真值与预测)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234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3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图3 识别失败案例(红字标注真值与预测)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八、一个必须记录的工程问题:数据增强拖垮 GPU 利用率</w:t>
      </w:r>
    </w:p>
    <w:p>
      <w:r>
        <w:rPr>
          <w:rFonts w:ascii="微软雅黑" w:hAnsi="微软雅黑" w:eastAsia="微软雅黑"/>
          <w:b w:val="0"/>
          <w:sz w:val="22"/>
        </w:rPr>
        <w:t>给训练集加数据增强后,训练几乎停滞:GPU 利用率只有 3%,显存却已分配 2GB。</w:t>
      </w:r>
    </w:p>
    <w:p>
      <w:r>
        <w:rPr>
          <w:rFonts w:ascii="微软雅黑" w:hAnsi="微软雅黑" w:eastAsia="微软雅黑"/>
          <w:b w:val="0"/>
          <w:sz w:val="22"/>
        </w:rPr>
        <w:t>原因:DataLoader(num_workers=0) 时图像增强(PIL 的 RandomAffine 重采样)在主进程中串行执行,GPU 每个 batch 都要等 CPU 处理完才能开工,增强的 CPU 耗时超过了 GPU 的计算耗时,瓶颈完全落在 CPU 上。</w:t>
      </w:r>
    </w:p>
    <w:p>
      <w:r>
        <w:rPr>
          <w:rFonts w:ascii="微软雅黑" w:hAnsi="微软雅黑" w:eastAsia="微软雅黑"/>
          <w:b/>
          <w:sz w:val="22"/>
        </w:rPr>
        <w:t>解决:改用多进程加载 --num-workers 4,让增强在 4 个子进程中并行执行,GPU 利用率立刻从 3% 提升到 97%,训练速度恢复正常。</w:t>
      </w:r>
    </w:p>
    <w:p>
      <w:r>
        <w:rPr>
          <w:rFonts w:ascii="Consolas" w:hAnsi="Consolas" w:eastAsia="Consolas"/>
          <w:sz w:val="18"/>
        </w:rPr>
        <w:t>python train.py --epochs 30 --augment --num-workers 4</w:t>
      </w:r>
    </w:p>
    <w:p>
      <w:r>
        <w:rPr>
          <w:rFonts w:ascii="微软雅黑" w:hAnsi="微软雅黑" w:eastAsia="微软雅黑"/>
          <w:b w:val="0"/>
          <w:sz w:val="22"/>
        </w:rPr>
        <w:t>经验:加了数据增强后若发现训练变慢,先看 GPU 利用率——若利用率低但显存已占用,说明瓶颈在 CPU 端数据预处理,应增加 num_workers。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九、下周计划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调研 Transformer OCR:TrOCR、Donut、PaddleOCR、EasyOCR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对比 Transformer 方案与 CRNN 在结构、思想、优缺点上的差异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完成调研报告(第 4 周验收物)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整理文献阅读笔记(CRNN、TrOCR、Donut 三篇为必读)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保持代码的持续提交与文档同步更新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