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○○人壽 業務人員收入制度（虛構測試用，非真實公司制度）</w:t>
      </w:r>
    </w:p>
    <w:p>
      <w:r>
        <w:t xml:space="preserve">第一條 適用對象：本公司登錄之業務人員。</w:t>
      </w:r>
    </w:p>
    <w:p>
      <w:r>
        <w:t xml:space="preserve">第二條 首年度佣金：依商品別，首年度佣金率為保費之 15% 至 40%，以商品佣金表為準。</w:t>
      </w:r>
    </w:p>
    <w:p>
      <w:r>
        <w:t xml:space="preserve">第三條 續年度佣金：第二年起依商品別給付續年度佣金，佣金率為保費之 2% 至 5%。</w:t>
      </w:r>
    </w:p>
    <w:p>
      <w:r>
        <w:t xml:space="preserve">第四條 新人津貼：到職後前 12 個月，每月發給新人津貼 25,000 元，條件為當月 FYC（首年度佣金）達 20,000 元以上；未達者當月不發給。</w:t>
      </w:r>
    </w:p>
    <w:p>
      <w:r>
        <w:t xml:space="preserve">第五條 季獎金：每季 FYC 達 150,000 元以上者，加發當季 FYC 之 10% 為季獎金。</w:t>
      </w:r>
    </w:p>
    <w:p>
      <w:r>
        <w:t xml:space="preserve">第六條 自行負擔費用：業務人員之交通費、通訊費由個人自行負擔；資格測驗報名費由公司負擔。</w:t>
      </w:r>
    </w:p>
    <w:p>
      <w:r>
        <w:t xml:space="preserve">第七條 本制度未規定之收入項目（例如組織津貼）另依晉升考核辦法辦理。</w:t>
      </w:r>
    </w:p>
  </w:body>
</w:document>
</file>