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内存战略备货风险管理看板</w:t>
      </w:r>
    </w:p>
    <w:p>
      <w:r>
        <w:t>产品需求文档（PRD）｜V1.0 详细开发基线</w:t>
      </w:r>
    </w:p>
    <w:p>
      <w:r>
        <w:t>编制日期：2026-10-23    |    业务范围：智能手机 / 平板 / 穿戴设备    |    计价币种：CNY</w:t>
      </w:r>
    </w:p>
    <w:p>
      <w:r>
        <w:t>依据：已规划的4个模拟数据工作簿、21张数据表；本文件将模拟数据字段与目标业务规则分开描述，所有阈值均为可配置初始建议，未经业务确认不得视为正式制度。</w:t>
      </w:r>
    </w:p>
    <w:p>
      <w:pPr>
        <w:pStyle w:val="Heading1"/>
      </w:pPr>
      <w:r>
        <w:t>0. 文档控制与阅读指引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定义</w:t>
            </w:r>
          </w:p>
        </w:tc>
      </w:tr>
      <w:tr>
        <w:tc>
          <w:tcPr>
            <w:tcW w:type="dxa" w:w="4320"/>
          </w:tcPr>
          <w:p>
            <w:r>
              <w:t>文档目标</w:t>
            </w:r>
          </w:p>
        </w:tc>
        <w:tc>
          <w:tcPr>
            <w:tcW w:type="dxa" w:w="4320"/>
          </w:tcPr>
          <w:p>
            <w:r>
              <w:t>产品、供应链计划、采购、财务、开发、测试使用同一份可实施需求基线</w:t>
            </w:r>
          </w:p>
        </w:tc>
      </w:tr>
      <w:tr>
        <w:tc>
          <w:tcPr>
            <w:tcW w:type="dxa" w:w="4320"/>
          </w:tcPr>
          <w:p>
            <w:r>
              <w:t>交付边界</w:t>
            </w:r>
          </w:p>
        </w:tc>
        <w:tc>
          <w:tcPr>
            <w:tcW w:type="dxa" w:w="4320"/>
          </w:tcPr>
          <w:p>
            <w:r>
              <w:t>Web数据看板+明细下钻+规则引擎+风险处置闭环+导入校验+审计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V1.0（待业务评审）</w:t>
            </w:r>
          </w:p>
        </w:tc>
      </w:tr>
      <w:tr>
        <w:tc>
          <w:tcPr>
            <w:tcW w:type="dxa" w:w="4320"/>
          </w:tcPr>
          <w:p>
            <w:r>
              <w:t>数据基准</w:t>
            </w:r>
          </w:p>
        </w:tc>
        <w:tc>
          <w:tcPr>
            <w:tcW w:type="dxa" w:w="4320"/>
          </w:tcPr>
          <w:p>
            <w:r>
              <w:t>2026-10-22快照；历史13周、未来26周；25物料、12项目；数据为合成演示</w:t>
            </w:r>
          </w:p>
        </w:tc>
      </w:tr>
      <w:tr>
        <w:tc>
          <w:tcPr>
            <w:tcW w:type="dxa" w:w="4320"/>
          </w:tcPr>
          <w:p>
            <w:r>
              <w:t>状态标签</w:t>
            </w:r>
          </w:p>
        </w:tc>
        <w:tc>
          <w:tcPr>
            <w:tcW w:type="dxa" w:w="4320"/>
          </w:tcPr>
          <w:p>
            <w:r>
              <w:t>【确定】可直接实现；【建议】默认设计；【待确认】上线前业务定版</w:t>
            </w:r>
          </w:p>
        </w:tc>
      </w:tr>
    </w:tbl>
    <w:p>
      <w:pPr>
        <w:pStyle w:val="Heading1"/>
      </w:pPr>
      <w:r>
        <w:t>1. 背景、问题与目标</w:t>
      </w:r>
    </w:p>
    <w:p>
      <w:r>
        <w:t>市场价格波动及供应紧张推动提前战备，企业同时暴露于缺料、项目砍单、超额库存、跌价、资金占用、交付延迟和PO锁定等风险。传统库存看板只展示存量，无法解释风险形成原因、经济影响及干预动作。</w:t>
      </w:r>
    </w:p>
    <w:p>
      <w:pPr>
        <w:pStyle w:val="Heading2"/>
      </w:pPr>
      <w:r>
        <w:t>1.1 需要回答的管理问题</w:t>
      </w:r>
    </w:p>
    <w:p>
      <w:pPr>
        <w:pStyle w:val="ListBullet"/>
      </w:pPr>
      <w:r>
        <w:t>哪些物料将在未来4/8/13/26周出现实物缺料或安全库存缺口？首次发生在哪一周？</w:t>
      </w:r>
    </w:p>
    <w:p>
      <w:pPr>
        <w:pStyle w:val="ListBullet"/>
      </w:pPr>
      <w:r>
        <w:t>哪些物料由于需求下降、EOL或项目取消形成超额库存？分别暴露多少数量和成本？</w:t>
      </w:r>
    </w:p>
    <w:p>
      <w:pPr>
        <w:pStyle w:val="ListBullet"/>
      </w:pPr>
      <w:r>
        <w:t>市场价格在-10%/-20%/-30%等情景下，持有库存的价格负敞口有多大？</w:t>
      </w:r>
    </w:p>
    <w:p>
      <w:pPr>
        <w:pStyle w:val="ListBullet"/>
      </w:pPr>
      <w:r>
        <w:t>哪些未交PO可取消、可延期，干预窗口何时关闭？无法调整的承诺金额是多少？</w:t>
      </w:r>
    </w:p>
    <w:p>
      <w:pPr>
        <w:pStyle w:val="ListBullet"/>
      </w:pPr>
      <w:r>
        <w:t>风险由哪个项目、哪一版MDS、哪个供应商、哪个库存批次驱动？</w:t>
      </w:r>
    </w:p>
    <w:p>
      <w:pPr>
        <w:pStyle w:val="ListBullet"/>
      </w:pPr>
      <w:r>
        <w:t>谁负责、应在何时处理、风险是否实际降低？</w:t>
      </w:r>
    </w:p>
    <w:p>
      <w:pPr>
        <w:pStyle w:val="Heading2"/>
      </w:pPr>
      <w:r>
        <w:t>1.2 成功标准与非目标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验收目标（建议）</w:t>
            </w:r>
          </w:p>
        </w:tc>
      </w:tr>
      <w:tr>
        <w:tc>
          <w:tcPr>
            <w:tcW w:type="dxa" w:w="4320"/>
          </w:tcPr>
          <w:p>
            <w:r>
              <w:t>完整性</w:t>
            </w:r>
          </w:p>
        </w:tc>
        <w:tc>
          <w:tcPr>
            <w:tcW w:type="dxa" w:w="4320"/>
          </w:tcPr>
          <w:p>
            <w:r>
              <w:t>25个料号、12个项目、21张表全量入库，关键外键无悬空</w:t>
            </w:r>
          </w:p>
        </w:tc>
      </w:tr>
      <w:tr>
        <w:tc>
          <w:tcPr>
            <w:tcW w:type="dxa" w:w="4320"/>
          </w:tcPr>
          <w:p>
            <w:r>
              <w:t>可解释性</w:t>
            </w:r>
          </w:p>
        </w:tc>
        <w:tc>
          <w:tcPr>
            <w:tcW w:type="dxa" w:w="4320"/>
          </w:tcPr>
          <w:p>
            <w:r>
              <w:t>每条风险显示来源数据、规则版本、计算时间、主要驱动</w:t>
            </w:r>
          </w:p>
        </w:tc>
      </w:tr>
      <w:tr>
        <w:tc>
          <w:tcPr>
            <w:tcW w:type="dxa" w:w="4320"/>
          </w:tcPr>
          <w:p>
            <w:r>
              <w:t>准确性</w:t>
            </w:r>
          </w:p>
        </w:tc>
        <w:tc>
          <w:tcPr>
            <w:tcW w:type="dxa" w:w="4320"/>
          </w:tcPr>
          <w:p>
            <w:r>
              <w:t>库存平衡、PO数量守恒、金额勾稽，抽样计算与手工一致</w:t>
            </w:r>
          </w:p>
        </w:tc>
      </w:tr>
      <w:tr>
        <w:tc>
          <w:tcPr>
            <w:tcW w:type="dxa" w:w="4320"/>
          </w:tcPr>
          <w:p>
            <w:r>
              <w:t>及时性</w:t>
            </w:r>
          </w:p>
        </w:tc>
        <w:tc>
          <w:tcPr>
            <w:tcW w:type="dxa" w:w="4320"/>
          </w:tcPr>
          <w:p>
            <w:r>
              <w:t>按日批处理，MDS/PO重要更新后可手动重算</w:t>
            </w:r>
          </w:p>
        </w:tc>
      </w:tr>
      <w:tr>
        <w:tc>
          <w:tcPr>
            <w:tcW w:type="dxa" w:w="4320"/>
          </w:tcPr>
          <w:p>
            <w:r>
              <w:t>闭环</w:t>
            </w:r>
          </w:p>
        </w:tc>
        <w:tc>
          <w:tcPr>
            <w:tcW w:type="dxa" w:w="4320"/>
          </w:tcPr>
          <w:p>
            <w:r>
              <w:t>风险从发现到关闭具有责任人、截止日、证据、审批及历史记录</w:t>
            </w:r>
          </w:p>
        </w:tc>
      </w:tr>
      <w:tr>
        <w:tc>
          <w:tcPr>
            <w:tcW w:type="dxa" w:w="4320"/>
          </w:tcPr>
          <w:p>
            <w:r>
              <w:t>非目标</w:t>
            </w:r>
          </w:p>
        </w:tc>
        <w:tc>
          <w:tcPr>
            <w:tcW w:type="dxa" w:w="4320"/>
          </w:tcPr>
          <w:p>
            <w:r>
              <w:t>V1不自动提交采购订单、不自动预测真实市场行情、不代替会计减值核算</w:t>
            </w:r>
          </w:p>
        </w:tc>
      </w:tr>
    </w:tbl>
    <w:p>
      <w:pPr>
        <w:pStyle w:val="Heading1"/>
      </w:pPr>
      <w:r>
        <w:t>2. 用户角色、权限与典型场景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查看</w:t>
            </w:r>
          </w:p>
        </w:tc>
        <w:tc>
          <w:tcPr>
            <w:tcW w:type="dxa" w:w="2160"/>
          </w:tcPr>
          <w:p>
            <w:r>
              <w:t>编辑/操作</w:t>
            </w:r>
          </w:p>
        </w:tc>
        <w:tc>
          <w:tcPr>
            <w:tcW w:type="dxa" w:w="2160"/>
          </w:tcPr>
          <w:p>
            <w:r>
              <w:t>审批</w:t>
            </w:r>
          </w:p>
        </w:tc>
      </w:tr>
      <w:tr>
        <w:tc>
          <w:tcPr>
            <w:tcW w:type="dxa" w:w="2160"/>
          </w:tcPr>
          <w:p>
            <w:r>
              <w:t>管理层</w:t>
            </w:r>
          </w:p>
        </w:tc>
        <w:tc>
          <w:tcPr>
            <w:tcW w:type="dxa" w:w="2160"/>
          </w:tcPr>
          <w:p>
            <w:r>
              <w:t>全局及所有汇总</w:t>
            </w:r>
          </w:p>
        </w:tc>
        <w:tc>
          <w:tcPr>
            <w:tcW w:type="dxa" w:w="2160"/>
          </w:tcPr>
          <w:p>
            <w:r>
              <w:t>导出、评论</w:t>
            </w:r>
          </w:p>
        </w:tc>
        <w:tc>
          <w:tcPr>
            <w:tcW w:type="dxa" w:w="2160"/>
          </w:tcPr>
          <w:p>
            <w:r>
              <w:t>关键风险处置审批（可选）</w:t>
            </w:r>
          </w:p>
        </w:tc>
      </w:tr>
      <w:tr>
        <w:tc>
          <w:tcPr>
            <w:tcW w:type="dxa" w:w="2160"/>
          </w:tcPr>
          <w:p>
            <w:r>
              <w:t>计划员</w:t>
            </w:r>
          </w:p>
        </w:tc>
        <w:tc>
          <w:tcPr>
            <w:tcW w:type="dxa" w:w="2160"/>
          </w:tcPr>
          <w:p>
            <w:r>
              <w:t>授权工厂/项目</w:t>
            </w:r>
          </w:p>
        </w:tc>
        <w:tc>
          <w:tcPr>
            <w:tcW w:type="dxa" w:w="2160"/>
          </w:tcPr>
          <w:p>
            <w:r>
              <w:t>需求解释、库存措施</w:t>
            </w:r>
          </w:p>
        </w:tc>
        <w:tc>
          <w:tcPr>
            <w:tcW w:type="dxa" w:w="2160"/>
          </w:tcPr>
          <w:p>
            <w:r>
              <w:t>需求调整确认</w:t>
            </w:r>
          </w:p>
        </w:tc>
      </w:tr>
      <w:tr>
        <w:tc>
          <w:tcPr>
            <w:tcW w:type="dxa" w:w="2160"/>
          </w:tcPr>
          <w:p>
            <w:r>
              <w:t>采购员</w:t>
            </w:r>
          </w:p>
        </w:tc>
        <w:tc>
          <w:tcPr>
            <w:tcW w:type="dxa" w:w="2160"/>
          </w:tcPr>
          <w:p>
            <w:r>
              <w:t>供应商、PO、价格</w:t>
            </w:r>
          </w:p>
        </w:tc>
        <w:tc>
          <w:tcPr>
            <w:tcW w:type="dxa" w:w="2160"/>
          </w:tcPr>
          <w:p>
            <w:r>
              <w:t>PO处置建议/反馈</w:t>
            </w:r>
          </w:p>
        </w:tc>
        <w:tc>
          <w:tcPr>
            <w:tcW w:type="dxa" w:w="2160"/>
          </w:tcPr>
          <w:p>
            <w:r>
              <w:t>采购调整按权限</w:t>
            </w:r>
          </w:p>
        </w:tc>
      </w:tr>
      <w:tr>
        <w:tc>
          <w:tcPr>
            <w:tcW w:type="dxa" w:w="2160"/>
          </w:tcPr>
          <w:p>
            <w:r>
              <w:t>财务</w:t>
            </w:r>
          </w:p>
        </w:tc>
        <w:tc>
          <w:tcPr>
            <w:tcW w:type="dxa" w:w="2160"/>
          </w:tcPr>
          <w:p>
            <w:r>
              <w:t>库存成本、敞口</w:t>
            </w:r>
          </w:p>
        </w:tc>
        <w:tc>
          <w:tcPr>
            <w:tcW w:type="dxa" w:w="2160"/>
          </w:tcPr>
          <w:p>
            <w:r>
              <w:t>成本口径、情景参数</w:t>
            </w:r>
          </w:p>
        </w:tc>
        <w:tc>
          <w:tcPr>
            <w:tcW w:type="dxa" w:w="2160"/>
          </w:tcPr>
          <w:p>
            <w:r>
              <w:t>损失认定</w:t>
            </w:r>
          </w:p>
        </w:tc>
      </w:tr>
      <w:tr>
        <w:tc>
          <w:tcPr>
            <w:tcW w:type="dxa" w:w="2160"/>
          </w:tcPr>
          <w:p>
            <w:r>
              <w:t>风险管理员</w:t>
            </w:r>
          </w:p>
        </w:tc>
        <w:tc>
          <w:tcPr>
            <w:tcW w:type="dxa" w:w="2160"/>
          </w:tcPr>
          <w:p>
            <w:r>
              <w:t>全局</w:t>
            </w:r>
          </w:p>
        </w:tc>
        <w:tc>
          <w:tcPr>
            <w:tcW w:type="dxa" w:w="2160"/>
          </w:tcPr>
          <w:p>
            <w:r>
              <w:t>阈值、分派、规则版本</w:t>
            </w:r>
          </w:p>
        </w:tc>
        <w:tc>
          <w:tcPr>
            <w:tcW w:type="dxa" w:w="2160"/>
          </w:tcPr>
          <w:p>
            <w:r>
              <w:t>关闭风险</w:t>
            </w:r>
          </w:p>
        </w:tc>
      </w:tr>
      <w:tr>
        <w:tc>
          <w:tcPr>
            <w:tcW w:type="dxa" w:w="2160"/>
          </w:tcPr>
          <w:p>
            <w:r>
              <w:t>数据管理员</w:t>
            </w:r>
          </w:p>
        </w:tc>
        <w:tc>
          <w:tcPr>
            <w:tcW w:type="dxa" w:w="2160"/>
          </w:tcPr>
          <w:p>
            <w:r>
              <w:t>导入与质量</w:t>
            </w:r>
          </w:p>
        </w:tc>
        <w:tc>
          <w:tcPr>
            <w:tcW w:type="dxa" w:w="2160"/>
          </w:tcPr>
          <w:p>
            <w:r>
              <w:t>字段映射、重跑</w:t>
            </w:r>
          </w:p>
        </w:tc>
        <w:tc>
          <w:tcPr>
            <w:tcW w:type="dxa" w:w="2160"/>
          </w:tcPr>
          <w:p>
            <w:r>
              <w:t>数据发布</w:t>
            </w:r>
          </w:p>
        </w:tc>
      </w:tr>
      <w:tr>
        <w:tc>
          <w:tcPr>
            <w:tcW w:type="dxa" w:w="2160"/>
          </w:tcPr>
          <w:p>
            <w:r>
              <w:t>只读用户</w:t>
            </w:r>
          </w:p>
        </w:tc>
        <w:tc>
          <w:tcPr>
            <w:tcW w:type="dxa" w:w="2160"/>
          </w:tcPr>
          <w:p>
            <w:r>
              <w:t>授权范围</w:t>
            </w:r>
          </w:p>
        </w:tc>
        <w:tc>
          <w:tcPr>
            <w:tcW w:type="dxa" w:w="2160"/>
          </w:tcPr>
          <w:p>
            <w:r>
              <w:t>筛选与导出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</w:tbl>
    <w:p>
      <w:r>
        <w:t>权限：基于RBAC叠加业务单元/工厂行级权限；价格、供应商合同成本按角色脱敏；操作写审计日志。</w:t>
      </w:r>
    </w:p>
    <w:p>
      <w:pPr>
        <w:pStyle w:val="Heading1"/>
      </w:pPr>
      <w:r>
        <w:t>3. 三层架构与数据流</w:t>
      </w:r>
    </w:p>
    <w:p>
      <w:r>
        <w:t>事实数据层 → 风险计算层 → 处置闭环层。事实层保留原始快照与版本；计算层产出可重算的指标、规则命中和情景结果；闭环层保存任务、审批、效果验证与追溯。</w:t>
      </w:r>
    </w:p>
    <w:p>
      <w:pPr>
        <w:pStyle w:val="ListBullet"/>
      </w:pPr>
      <w:r>
        <w:t>事实层：物料、项目、BOM映射、替代认证、MDS版本、实际消耗、库存批次、PO、供应商交付、成本、市场价格、战备台账。</w:t>
      </w:r>
    </w:p>
    <w:p>
      <w:pPr>
        <w:pStyle w:val="ListBullet"/>
      </w:pPr>
      <w:r>
        <w:t>计算层：数据校验→统一单位/时间→净需求分配→滚动库存→供应缺口/超额库存→价格情景→风险打分→规则触发。</w:t>
      </w:r>
    </w:p>
    <w:p>
      <w:pPr>
        <w:pStyle w:val="ListBullet"/>
      </w:pPr>
      <w:r>
        <w:t>闭环层：事件去重→指派→措施确认→执行→复核→关闭/重开；风险历史快照不可覆盖。</w:t>
      </w:r>
    </w:p>
    <w:p>
      <w:pPr>
        <w:pStyle w:val="Heading1"/>
      </w:pPr>
      <w:r>
        <w:t>4. 数据粒度、主键与统一口径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推荐业务主键/粒度</w:t>
            </w:r>
          </w:p>
        </w:tc>
        <w:tc>
          <w:tcPr>
            <w:tcW w:type="dxa" w:w="2880"/>
          </w:tcPr>
          <w:p>
            <w:r>
              <w:t>关键约束</w:t>
            </w:r>
          </w:p>
        </w:tc>
      </w:tr>
      <w:tr>
        <w:tc>
          <w:tcPr>
            <w:tcW w:type="dxa" w:w="2880"/>
          </w:tcPr>
          <w:p>
            <w:r>
              <w:t>物料</w:t>
            </w:r>
          </w:p>
        </w:tc>
        <w:tc>
          <w:tcPr>
            <w:tcW w:type="dxa" w:w="2880"/>
          </w:tcPr>
          <w:p>
            <w:r>
              <w:t>物料编码</w:t>
            </w:r>
          </w:p>
        </w:tc>
        <w:tc>
          <w:tcPr>
            <w:tcW w:type="dxa" w:w="2880"/>
          </w:tcPr>
          <w:p>
            <w:r>
              <w:t>编码唯一；DRAM/NAND不得直接跨品类汇总数量</w:t>
            </w:r>
          </w:p>
        </w:tc>
      </w:tr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项目编码</w:t>
            </w:r>
          </w:p>
        </w:tc>
        <w:tc>
          <w:tcPr>
            <w:tcW w:type="dxa" w:w="2880"/>
          </w:tcPr>
          <w:p>
            <w:r>
              <w:t>生命周期状态需生效日期</w:t>
            </w:r>
          </w:p>
        </w:tc>
      </w:tr>
      <w:tr>
        <w:tc>
          <w:tcPr>
            <w:tcW w:type="dxa" w:w="2880"/>
          </w:tcPr>
          <w:p>
            <w:r>
              <w:t>BOM映射</w:t>
            </w:r>
          </w:p>
        </w:tc>
        <w:tc>
          <w:tcPr>
            <w:tcW w:type="dxa" w:w="2880"/>
          </w:tcPr>
          <w:p>
            <w:r>
              <w:t>项目+物料+生效日期</w:t>
            </w:r>
          </w:p>
        </w:tc>
        <w:tc>
          <w:tcPr>
            <w:tcW w:type="dxa" w:w="2880"/>
          </w:tcPr>
          <w:p>
            <w:r>
              <w:t>允许项目多料、物料多项目；单机用量必须正数</w:t>
            </w:r>
          </w:p>
        </w:tc>
      </w:tr>
      <w:tr>
        <w:tc>
          <w:tcPr>
            <w:tcW w:type="dxa" w:w="2880"/>
          </w:tcPr>
          <w:p>
            <w:r>
              <w:t>MDS</w:t>
            </w:r>
          </w:p>
        </w:tc>
        <w:tc>
          <w:tcPr>
            <w:tcW w:type="dxa" w:w="2880"/>
          </w:tcPr>
          <w:p>
            <w:r>
              <w:t>版本号+需求期+项目+物料+需求类别</w:t>
            </w:r>
          </w:p>
        </w:tc>
        <w:tc>
          <w:tcPr>
            <w:tcW w:type="dxa" w:w="2880"/>
          </w:tcPr>
          <w:p>
            <w:r>
              <w:t>固定目标周跨版本比较，禁止不同窗口直接比总量</w:t>
            </w:r>
          </w:p>
        </w:tc>
      </w:tr>
      <w:tr>
        <w:tc>
          <w:tcPr>
            <w:tcW w:type="dxa" w:w="2880"/>
          </w:tcPr>
          <w:p>
            <w:r>
              <w:t>库存</w:t>
            </w:r>
          </w:p>
        </w:tc>
        <w:tc>
          <w:tcPr>
            <w:tcW w:type="dxa" w:w="2880"/>
          </w:tcPr>
          <w:p>
            <w:r>
              <w:t>快照日期+仓库+批次+物料</w:t>
            </w:r>
          </w:p>
        </w:tc>
        <w:tc>
          <w:tcPr>
            <w:tcW w:type="dxa" w:w="2880"/>
          </w:tcPr>
          <w:p>
            <w:r>
              <w:t>同批次不可重复；冻结与可用互斥</w:t>
            </w:r>
          </w:p>
        </w:tc>
      </w:tr>
      <w:tr>
        <w:tc>
          <w:tcPr>
            <w:tcW w:type="dxa" w:w="2880"/>
          </w:tcPr>
          <w:p>
            <w:r>
              <w:t>PO</w:t>
            </w:r>
          </w:p>
        </w:tc>
        <w:tc>
          <w:tcPr>
            <w:tcW w:type="dxa" w:w="2880"/>
          </w:tcPr>
          <w:p>
            <w:r>
              <w:t>PO号+行号</w:t>
            </w:r>
          </w:p>
        </w:tc>
        <w:tc>
          <w:tcPr>
            <w:tcW w:type="dxa" w:w="2880"/>
          </w:tcPr>
          <w:p>
            <w:r>
              <w:t>订单=已收+未交；运输中、待发是未交子集</w:t>
            </w:r>
          </w:p>
        </w:tc>
      </w:tr>
      <w:tr>
        <w:tc>
          <w:tcPr>
            <w:tcW w:type="dxa" w:w="2880"/>
          </w:tcPr>
          <w:p>
            <w:r>
              <w:t>价格</w:t>
            </w:r>
          </w:p>
        </w:tc>
        <w:tc>
          <w:tcPr>
            <w:tcW w:type="dxa" w:w="2880"/>
          </w:tcPr>
          <w:p>
            <w:r>
              <w:t>日期+物料+价格类型+地区+来源</w:t>
            </w:r>
          </w:p>
        </w:tc>
        <w:tc>
          <w:tcPr>
            <w:tcW w:type="dxa" w:w="2880"/>
          </w:tcPr>
          <w:p>
            <w:r>
              <w:t>可比规格、币种、含税口径一致</w:t>
            </w:r>
          </w:p>
        </w:tc>
      </w:tr>
      <w:tr>
        <w:tc>
          <w:tcPr>
            <w:tcW w:type="dxa" w:w="2880"/>
          </w:tcPr>
          <w:p>
            <w:r>
              <w:t>风险事件</w:t>
            </w:r>
          </w:p>
        </w:tc>
        <w:tc>
          <w:tcPr>
            <w:tcW w:type="dxa" w:w="2880"/>
          </w:tcPr>
          <w:p>
            <w:r>
              <w:t>事件编号</w:t>
            </w:r>
          </w:p>
        </w:tc>
        <w:tc>
          <w:tcPr>
            <w:tcW w:type="dxa" w:w="2880"/>
          </w:tcPr>
          <w:p>
            <w:r>
              <w:t>同物料同方向同触发规则支持去重及合并</w:t>
            </w:r>
          </w:p>
        </w:tc>
      </w:tr>
      <w:tr>
        <w:tc>
          <w:tcPr>
            <w:tcW w:type="dxa" w:w="2880"/>
          </w:tcPr>
          <w:p>
            <w:r>
              <w:t>策略</w:t>
            </w:r>
          </w:p>
        </w:tc>
        <w:tc>
          <w:tcPr>
            <w:tcW w:type="dxa" w:w="2880"/>
          </w:tcPr>
          <w:p>
            <w:r>
              <w:t>物料+工厂+生效日</w:t>
            </w:r>
          </w:p>
        </w:tc>
        <w:tc>
          <w:tcPr>
            <w:tcW w:type="dxa" w:w="2880"/>
          </w:tcPr>
          <w:p>
            <w:r>
              <w:t>按生效日取最近有效版本</w:t>
            </w:r>
          </w:p>
        </w:tc>
      </w:tr>
    </w:tbl>
    <w:p>
      <w:r>
        <w:t>【重要】现有模拟表存在“库存批次快照”中批次安全库存重复、“库存策略参数”与库存快照安全库存不一致等潜在口径冲突；生产实现以库存策略参数为权威，安全库存先按料号+工厂聚合后扣减一次。</w:t>
      </w:r>
    </w:p>
    <w:p>
      <w:pPr>
        <w:pStyle w:val="Heading1"/>
      </w:pPr>
      <w:r>
        <w:t>5. 核心计算引擎：逐项算法与边界</w:t>
      </w:r>
    </w:p>
    <w:p>
      <w:pPr>
        <w:pStyle w:val="Heading2"/>
      </w:pPr>
      <w:r>
        <w:t>5.1 需求净化与版本选择</w:t>
      </w:r>
    </w:p>
    <w:p>
      <w:r>
        <w:t>选择截至计算时点最新已发布MDS版本，取未来周需求；同一料号跨项目求和前乘BOM用量（若MDS已是物料需求则不得重复乘）。取消项目从生效周起按批准规则剔除；未锁定需求保留原值，同时生成保守/基准/乐观三种需求情景。</w:t>
      </w:r>
    </w:p>
    <w:p>
      <w:pPr>
        <w:pStyle w:val="Heading2"/>
      </w:pPr>
      <w:r>
        <w:t>5.2 供应去重与可用量</w:t>
      </w:r>
    </w:p>
    <w:p>
      <w:r>
        <w:t>期初可用库存=Σ批次可用数量−Σ有效已分配数量；如可用数量本身已扣分配，则不再二次扣减。可用到货=未交PO中按承诺日期预计到货的可用数量；运输中/待发是未交PO子集，不额外叠加。安全库存仅在判定安全库存缺口时扣除，不直接从实物期初库存扣除。</w:t>
      </w:r>
    </w:p>
    <w:p>
      <w:pPr>
        <w:pStyle w:val="Heading2"/>
      </w:pPr>
      <w:r>
        <w:t>5.3 周度库存滚动</w:t>
      </w:r>
    </w:p>
    <w:p>
      <w:r>
        <w:t>I(0)=期初净可用实物库存；I(t)=I(t−1)+A(t)−D(t)，保留负值用于识别缺料，不将负值截断后滚入下一周；实物缺料=max(0,−I(t))，安全库存缺口=max(0,SS(t)−I(t))。若考虑未满足需求结转，应额外建欠交量B(t)并明确是否延后满足。</w:t>
      </w:r>
    </w:p>
    <w:p>
      <w:pPr>
        <w:pStyle w:val="Heading2"/>
      </w:pPr>
      <w:r>
        <w:t>5.4 覆盖天数与缺料日期</w:t>
      </w:r>
    </w:p>
    <w:p>
      <w:r>
        <w:t>按未来逐日或周均需求累计消耗寻找库存耗尽日期；均匀需求时可近似覆盖天数=可用库存/未来28天日均需求。需求为0时返回“不适用/无限覆盖”，不能除以0。首次缺料周由滚动库存首次小于0识别，安全库存告警另算。</w:t>
      </w:r>
    </w:p>
    <w:p>
      <w:pPr>
        <w:pStyle w:val="Heading2"/>
      </w:pPr>
      <w:r>
        <w:t>5.5 超额库存与战备归因</w:t>
      </w:r>
    </w:p>
    <w:p>
      <w:r>
        <w:t>目标库存量=未来目标库存天数内需求+策略安全库存（注意目标定义是否已含安全库存，须二选一）。超额库存=max(0,可支配库存+不可撤销确认到货−目标库存量)；风险超额库存需进一步按项目确定性、生命周期及替代需求过滤。战略库存按战备台账关联PO及批次，无法实物区分时建立虚拟分摊账，禁止与正常库存重复计量。</w:t>
      </w:r>
    </w:p>
    <w:p>
      <w:pPr>
        <w:pStyle w:val="Heading2"/>
      </w:pPr>
      <w:r>
        <w:t>5.6 需求变化与砍单识别</w:t>
      </w:r>
    </w:p>
    <w:p>
      <w:r>
        <w:t>比较同一交付周/月份在MDS最新与历史版本的预测数量：调整率=(新−旧)/max(旧,最小基数)。连续下调按连续版本变化计数；项目取消以项目主数据事件日期为准，不以波动率替代砍单标记。</w:t>
      </w:r>
    </w:p>
    <w:p>
      <w:pPr>
        <w:pStyle w:val="Heading2"/>
      </w:pPr>
      <w:r>
        <w:t>5.7 价格压力测试</w:t>
      </w:r>
    </w:p>
    <w:p>
      <w:r>
        <w:t>按料号及批次：价格负敞口=Σ持有数量×max(0,账面单位成本−可比情景价格)。另可计算市值变动=数量×(情景价−当前可比市场价)。两者口径不同，不等同于正式会计减值；对已锁定消耗与战略超额部分分别展示。</w:t>
      </w:r>
    </w:p>
    <w:p>
      <w:pPr>
        <w:pStyle w:val="Heading2"/>
      </w:pPr>
      <w:r>
        <w:t>5.8 资金持有成本</w:t>
      </w:r>
    </w:p>
    <w:p>
      <w:r>
        <w:t>资金成本≈期内平均占用库存成本×年化资金成本率×持有天数/365；仓储成本同理；如价格风险情景与呆滞残值情景叠加，必须按同一批次统一结算，避免重复计算损失。</w:t>
      </w:r>
    </w:p>
    <w:p>
      <w:pPr>
        <w:pStyle w:val="Heading2"/>
      </w:pPr>
      <w:r>
        <w:t>5.9 PO干预窗口</w:t>
      </w:r>
    </w:p>
    <w:p>
      <w:r>
        <w:t>可取消金额=Σmin(未交量,可取消量)×合同单价；可延期金额同理但两者不可直接相加作为“可避免金额”。可干预状态由最后变更日期、供应商确认及费用判断；过期自动提示。不可撤销承诺金额=Σ(未交量−有效可取消量)×采购单价。</w:t>
      </w:r>
    </w:p>
    <w:p>
      <w:pPr>
        <w:pStyle w:val="Heading2"/>
      </w:pPr>
      <w:r>
        <w:t>5.10 替代料与转用</w:t>
      </w:r>
    </w:p>
    <w:p>
      <w:r>
        <w:t>仅“技术兼容且认证已完成”的替代映射进入可转用池；转用量=min(超额库存,其他项目净缺口,认证可转用上限/替代比例)，避免同一需求被多种替代料重复覆盖；多对多分配需优化或确定优先级。</w:t>
      </w:r>
    </w:p>
    <w:p>
      <w:pPr>
        <w:pStyle w:val="Heading2"/>
      </w:pPr>
      <w:r>
        <w:t>5.11 供应与库存风险分</w:t>
      </w:r>
    </w:p>
    <w:p>
      <w:r>
        <w:t>供应分：缺料/覆盖、交期波动、OTD、产能、质量等归一化到0–100；库存分：超储、MDS下调、EOL/砍单、价格压力、PO锁定等归一化。V1不把两分简单平均抵消，分别标红；管理优先级由严重度×金额×紧迫度排序。权重、分档和缺失值策略均参数化。</w:t>
      </w:r>
    </w:p>
    <w:p>
      <w:pPr>
        <w:pStyle w:val="Heading2"/>
      </w:pPr>
      <w:r>
        <w:t>5.12 风险金额去重</w:t>
      </w:r>
    </w:p>
    <w:p>
      <w:r>
        <w:t>风险关联库存金额、超额库存金额、价格负敞口、情景损失必须独立展示；综合情景按批次现金流/残值只算一次。不同事件关联同批次时不得简单相加，按批次ID和情景ID去重。</w:t>
      </w:r>
    </w:p>
    <w:p>
      <w:pPr>
        <w:pStyle w:val="Heading1"/>
      </w:pPr>
      <w:r>
        <w:t>6. 规则引擎与告警机制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规则ID</w:t>
            </w:r>
          </w:p>
        </w:tc>
        <w:tc>
          <w:tcPr>
            <w:tcW w:type="dxa" w:w="2160"/>
          </w:tcPr>
          <w:p>
            <w:r>
              <w:t>触发逻辑（初始建议）</w:t>
            </w:r>
          </w:p>
        </w:tc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动作</w:t>
            </w:r>
          </w:p>
        </w:tc>
      </w:tr>
      <w:tr>
        <w:tc>
          <w:tcPr>
            <w:tcW w:type="dxa" w:w="2160"/>
          </w:tcPr>
          <w:p>
            <w:r>
              <w:t>SUP-01</w:t>
            </w:r>
          </w:p>
        </w:tc>
        <w:tc>
          <w:tcPr>
            <w:tcW w:type="dxa" w:w="2160"/>
          </w:tcPr>
          <w:p>
            <w:r>
              <w:t>未来4周首次实物库存&lt;0</w:t>
            </w:r>
          </w:p>
        </w:tc>
        <w:tc>
          <w:tcPr>
            <w:tcW w:type="dxa" w:w="2160"/>
          </w:tcPr>
          <w:p>
            <w:r>
              <w:t>严重</w:t>
            </w:r>
          </w:p>
        </w:tc>
        <w:tc>
          <w:tcPr>
            <w:tcW w:type="dxa" w:w="2160"/>
          </w:tcPr>
          <w:p>
            <w:r>
              <w:t>通知计划员/采购，列出缺口周</w:t>
            </w:r>
          </w:p>
        </w:tc>
      </w:tr>
      <w:tr>
        <w:tc>
          <w:tcPr>
            <w:tcW w:type="dxa" w:w="2160"/>
          </w:tcPr>
          <w:p>
            <w:r>
              <w:t>SUP-02</w:t>
            </w:r>
          </w:p>
        </w:tc>
        <w:tc>
          <w:tcPr>
            <w:tcW w:type="dxa" w:w="2160"/>
          </w:tcPr>
          <w:p>
            <w:r>
              <w:t>覆盖天数&lt;21且需求&gt;0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核实交期和调拨</w:t>
            </w:r>
          </w:p>
        </w:tc>
      </w:tr>
      <w:tr>
        <w:tc>
          <w:tcPr>
            <w:tcW w:type="dxa" w:w="2160"/>
          </w:tcPr>
          <w:p>
            <w:r>
              <w:t>SUP-03</w:t>
            </w:r>
          </w:p>
        </w:tc>
        <w:tc>
          <w:tcPr>
            <w:tcW w:type="dxa" w:w="2160"/>
          </w:tcPr>
          <w:p>
            <w:r>
              <w:t>OTD&lt;85%或交期波动&gt;7天</w:t>
            </w:r>
          </w:p>
        </w:tc>
        <w:tc>
          <w:tcPr>
            <w:tcW w:type="dxa" w:w="2160"/>
          </w:tcPr>
          <w:p>
            <w:r>
              <w:t>中/高</w:t>
            </w:r>
          </w:p>
        </w:tc>
        <w:tc>
          <w:tcPr>
            <w:tcW w:type="dxa" w:w="2160"/>
          </w:tcPr>
          <w:p>
            <w:r>
              <w:t>供应商交付专项跟踪</w:t>
            </w:r>
          </w:p>
        </w:tc>
      </w:tr>
      <w:tr>
        <w:tc>
          <w:tcPr>
            <w:tcW w:type="dxa" w:w="2160"/>
          </w:tcPr>
          <w:p>
            <w:r>
              <w:t>INV-01</w:t>
            </w:r>
          </w:p>
        </w:tc>
        <w:tc>
          <w:tcPr>
            <w:tcW w:type="dxa" w:w="2160"/>
          </w:tcPr>
          <w:p>
            <w:r>
              <w:t>库存覆盖&gt;战略上限且MDS连续2版下调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暂停新增战备并核查需求</w:t>
            </w:r>
          </w:p>
        </w:tc>
      </w:tr>
      <w:tr>
        <w:tc>
          <w:tcPr>
            <w:tcW w:type="dxa" w:w="2160"/>
          </w:tcPr>
          <w:p>
            <w:r>
              <w:t>INV-02</w:t>
            </w:r>
          </w:p>
        </w:tc>
        <w:tc>
          <w:tcPr>
            <w:tcW w:type="dxa" w:w="2160"/>
          </w:tcPr>
          <w:p>
            <w:r>
              <w:t>项目已取消且存在关联库存/不可撤销PO</w:t>
            </w:r>
          </w:p>
        </w:tc>
        <w:tc>
          <w:tcPr>
            <w:tcW w:type="dxa" w:w="2160"/>
          </w:tcPr>
          <w:p>
            <w:r>
              <w:t>严重</w:t>
            </w:r>
          </w:p>
        </w:tc>
        <w:tc>
          <w:tcPr>
            <w:tcW w:type="dxa" w:w="2160"/>
          </w:tcPr>
          <w:p>
            <w:r>
              <w:t>发起处置</w:t>
            </w:r>
          </w:p>
        </w:tc>
      </w:tr>
      <w:tr>
        <w:tc>
          <w:tcPr>
            <w:tcW w:type="dxa" w:w="2160"/>
          </w:tcPr>
          <w:p>
            <w:r>
              <w:t>INV-03</w:t>
            </w:r>
          </w:p>
        </w:tc>
        <w:tc>
          <w:tcPr>
            <w:tcW w:type="dxa" w:w="2160"/>
          </w:tcPr>
          <w:p>
            <w:r>
              <w:t>库龄&gt;90天且未来13周无确定需求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转用/退货/消化评审</w:t>
            </w:r>
          </w:p>
        </w:tc>
      </w:tr>
      <w:tr>
        <w:tc>
          <w:tcPr>
            <w:tcW w:type="dxa" w:w="2160"/>
          </w:tcPr>
          <w:p>
            <w:r>
              <w:t>PRC-01</w:t>
            </w:r>
          </w:p>
        </w:tc>
        <w:tc>
          <w:tcPr>
            <w:tcW w:type="dxa" w:w="2160"/>
          </w:tcPr>
          <w:p>
            <w:r>
              <w:t>价格下跌20%情景敞口超过可配置金额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财务/采购复核</w:t>
            </w:r>
          </w:p>
        </w:tc>
      </w:tr>
      <w:tr>
        <w:tc>
          <w:tcPr>
            <w:tcW w:type="dxa" w:w="2160"/>
          </w:tcPr>
          <w:p>
            <w:r>
              <w:t>PO-01</w:t>
            </w:r>
          </w:p>
        </w:tc>
        <w:tc>
          <w:tcPr>
            <w:tcW w:type="dxa" w:w="2160"/>
          </w:tcPr>
          <w:p>
            <w:r>
              <w:t>最后变更日≤7天且有高风险未交PO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立即发起取消/延期评估</w:t>
            </w:r>
          </w:p>
        </w:tc>
      </w:tr>
      <w:tr>
        <w:tc>
          <w:tcPr>
            <w:tcW w:type="dxa" w:w="2160"/>
          </w:tcPr>
          <w:p>
            <w:r>
              <w:t>ACT-01</w:t>
            </w:r>
          </w:p>
        </w:tc>
        <w:tc>
          <w:tcPr>
            <w:tcW w:type="dxa" w:w="2160"/>
          </w:tcPr>
          <w:p>
            <w:r>
              <w:t>处置逾期且未关闭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升级至负责人上级</w:t>
            </w:r>
          </w:p>
        </w:tc>
      </w:tr>
    </w:tbl>
    <w:p>
      <w:r>
        <w:t>告警去重键=物料+工厂+风险方向+规则ID+评估周期；连续命中更新同事件并记录历史；解除需连续两次不命中（可配置）；支持静默期、白名单和人工说明，严禁自动静默严重缺料。</w:t>
      </w:r>
    </w:p>
    <w:p>
      <w:pPr>
        <w:pStyle w:val="Heading1"/>
      </w:pPr>
      <w:r>
        <w:t>7. 页面信息架构与交互细节</w:t>
      </w:r>
    </w:p>
    <w:p>
      <w:r>
        <w:t>一级导航：【管理总览】【供应保障】【战略库存】【价格与情景】【PO干预】【风险处置】【数据质量与配置】。全局筛选：业务单元、工厂、产品族、项目、物料、供应商、风险方向、风险等级、日期/版本；筛选后KPI、图表、清单保持联动，明确单位与数据更新时间。</w:t>
      </w:r>
    </w:p>
    <w:p>
      <w:pPr>
        <w:pStyle w:val="Heading2"/>
      </w:pPr>
      <w:r>
        <w:t>7.1 管理总览</w:t>
      </w:r>
    </w:p>
    <w:p>
      <w:r>
        <w:t>KPI：风险关联库存金额、战略超额库存金额、未来13周缺料料号数、不可撤销PO金额、高风险事件数、逾期事件数。主图：13周滚动库存/缺口/超额切换；矩阵：需求下调率×库存覆盖月数，气泡大小为超额库存金额；右侧风险驱动及TOP10物料清单。点击任意图元联动筛选并下钻。</w:t>
      </w:r>
    </w:p>
    <w:p>
      <w:pPr>
        <w:pStyle w:val="Heading2"/>
      </w:pPr>
      <w:r>
        <w:t>7.2 供应保障</w:t>
      </w:r>
    </w:p>
    <w:p>
      <w:r>
        <w:t>逐周供应需求、首次缺料周、预计缺料量、供应商OTD、交期波动、产能配额；按物料/工厂/项目切换；缺料明细展示到货组成及承诺日期。</w:t>
      </w:r>
    </w:p>
    <w:p>
      <w:pPr>
        <w:pStyle w:val="Heading2"/>
      </w:pPr>
      <w:r>
        <w:t>7.3 战略库存</w:t>
      </w:r>
    </w:p>
    <w:p>
      <w:r>
        <w:t>战备数量/金额、覆盖月数、超储金额、项目EOL与取消、MDS历史版本曲线、批次库龄、可转用率；按战备决策编号回溯采购理由。</w:t>
      </w:r>
    </w:p>
    <w:p>
      <w:pPr>
        <w:pStyle w:val="Heading2"/>
      </w:pPr>
      <w:r>
        <w:t>7.4 价格与情景</w:t>
      </w:r>
    </w:p>
    <w:p>
      <w:r>
        <w:t>可比市场价与批次成本双轴或分图；跌价滑杆-30%至+30%；输出全量与超额部分负敞口、持有成本、情景对比；保留情景ID与参数版本。</w:t>
      </w:r>
    </w:p>
    <w:p>
      <w:pPr>
        <w:pStyle w:val="Heading2"/>
      </w:pPr>
      <w:r>
        <w:t>7.5 PO干预</w:t>
      </w:r>
    </w:p>
    <w:p>
      <w:r>
        <w:t>按最后变更日倒序显示可取消/可延期/锁定未交PO、费用、供应商反馈、截止倒计时；支持动作建议与审批记录，不直接执行ERP变更。</w:t>
      </w:r>
    </w:p>
    <w:p>
      <w:pPr>
        <w:pStyle w:val="Heading2"/>
      </w:pPr>
      <w:r>
        <w:t>7.6 风险处置</w:t>
      </w:r>
    </w:p>
    <w:p>
      <w:r>
        <w:t>风险事件列表：物料、项目、方向、驱动、金额、责任人、截止日、状态、证据；支持创建、指派、措施确认、处理中、待复核、关闭、重开、评论、附件和批量导出。</w:t>
      </w:r>
    </w:p>
    <w:p>
      <w:pPr>
        <w:pStyle w:val="Heading2"/>
      </w:pPr>
      <w:r>
        <w:t>7.7 数据质量与配置</w:t>
      </w:r>
    </w:p>
    <w:p>
      <w:r>
        <w:t>数据源刷新时间、导入批次、主外键校验、重复键、空值率、异常单位、冲突口径、规则版本、参数变更审批及重算历史。</w:t>
      </w:r>
    </w:p>
    <w:p>
      <w:pPr>
        <w:pStyle w:val="Heading2"/>
      </w:pPr>
      <w:r>
        <w:t>7.8 图表/表格通用交互验收</w:t>
      </w:r>
    </w:p>
    <w:p>
      <w:pPr>
        <w:pStyle w:val="ListBullet"/>
      </w:pPr>
      <w:r>
        <w:t>筛选器支持多选、搜索、重置、保存视图；点击图表与表格筛选双向一致；保留“当前筛选条件”标签。</w:t>
      </w:r>
    </w:p>
    <w:p>
      <w:pPr>
        <w:pStyle w:val="ListBullet"/>
      </w:pPr>
      <w:r>
        <w:t>图表悬停显示数值、单位、物料/项目、口径、更新时间；无数据与数据异常需不同空态。</w:t>
      </w:r>
    </w:p>
    <w:p>
      <w:pPr>
        <w:pStyle w:val="ListBullet"/>
      </w:pPr>
      <w:r>
        <w:t>金额默认万元/亿元自适应，数量默认颗，时间按自然周周一开始；可切换币种时注明汇率日期。</w:t>
      </w:r>
    </w:p>
    <w:p>
      <w:pPr>
        <w:pStyle w:val="ListBullet"/>
      </w:pPr>
      <w:r>
        <w:t>列表支持排序、列显隐、分页、冻结主键、导出CSV/XLSX；导出保留过滤条件和导出时间。</w:t>
      </w:r>
    </w:p>
    <w:p>
      <w:pPr>
        <w:pStyle w:val="ListBullet"/>
      </w:pPr>
      <w:r>
        <w:t>明细页提供计算过程展开：期初库存、各周到货、需求、分配、安全库存、公式结果。</w:t>
      </w:r>
    </w:p>
    <w:p>
      <w:pPr>
        <w:pStyle w:val="Heading1"/>
      </w:pPr>
      <w:r>
        <w:t>8. 处置工作流状态机与SLA</w:t>
      </w:r>
    </w:p>
    <w:p>
      <w:r>
        <w:t>状态：新发现→待确认→已指派→处理中→待复核→已关闭；可驳回到处理中、可重开。所有状态迁移保存操作者、时间、前后值、原因与附件。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触发</w:t>
            </w:r>
          </w:p>
        </w:tc>
        <w:tc>
          <w:tcPr>
            <w:tcW w:type="dxa" w:w="2880"/>
          </w:tcPr>
          <w:p>
            <w:r>
              <w:t>系统行为</w:t>
            </w:r>
          </w:p>
        </w:tc>
        <w:tc>
          <w:tcPr>
            <w:tcW w:type="dxa" w:w="2880"/>
          </w:tcPr>
          <w:p>
            <w:r>
              <w:t>责任人/时限</w:t>
            </w:r>
          </w:p>
        </w:tc>
      </w:tr>
      <w:tr>
        <w:tc>
          <w:tcPr>
            <w:tcW w:type="dxa" w:w="2880"/>
          </w:tcPr>
          <w:p>
            <w:r>
              <w:t>严重缺料或项目取消</w:t>
            </w:r>
          </w:p>
        </w:tc>
        <w:tc>
          <w:tcPr>
            <w:tcW w:type="dxa" w:w="2880"/>
          </w:tcPr>
          <w:p>
            <w:r>
              <w:t>创建事件、通知、标记严重</w:t>
            </w:r>
          </w:p>
        </w:tc>
        <w:tc>
          <w:tcPr>
            <w:tcW w:type="dxa" w:w="2880"/>
          </w:tcPr>
          <w:p>
            <w:r>
              <w:t>计划员当日确认（建议）</w:t>
            </w:r>
          </w:p>
        </w:tc>
      </w:tr>
      <w:tr>
        <w:tc>
          <w:tcPr>
            <w:tcW w:type="dxa" w:w="2880"/>
          </w:tcPr>
          <w:p>
            <w:r>
              <w:t>PO最后调整窗口≤7天</w:t>
            </w:r>
          </w:p>
        </w:tc>
        <w:tc>
          <w:tcPr>
            <w:tcW w:type="dxa" w:w="2880"/>
          </w:tcPr>
          <w:p>
            <w:r>
              <w:t>创建PO干预任务</w:t>
            </w:r>
          </w:p>
        </w:tc>
        <w:tc>
          <w:tcPr>
            <w:tcW w:type="dxa" w:w="2880"/>
          </w:tcPr>
          <w:p>
            <w:r>
              <w:t>采购员1工作日确认（建议）</w:t>
            </w:r>
          </w:p>
        </w:tc>
      </w:tr>
      <w:tr>
        <w:tc>
          <w:tcPr>
            <w:tcW w:type="dxa" w:w="2880"/>
          </w:tcPr>
          <w:p>
            <w:r>
              <w:t>执行措施完成</w:t>
            </w:r>
          </w:p>
        </w:tc>
        <w:tc>
          <w:tcPr>
            <w:tcW w:type="dxa" w:w="2880"/>
          </w:tcPr>
          <w:p>
            <w:r>
              <w:t>提交实际减少风险金额及证据</w:t>
            </w:r>
          </w:p>
        </w:tc>
        <w:tc>
          <w:tcPr>
            <w:tcW w:type="dxa" w:w="2880"/>
          </w:tcPr>
          <w:p>
            <w:r>
              <w:t>执行人提交</w:t>
            </w:r>
          </w:p>
        </w:tc>
      </w:tr>
      <w:tr>
        <w:tc>
          <w:tcPr>
            <w:tcW w:type="dxa" w:w="2880"/>
          </w:tcPr>
          <w:p>
            <w:r>
              <w:t>复核</w:t>
            </w:r>
          </w:p>
        </w:tc>
        <w:tc>
          <w:tcPr>
            <w:tcW w:type="dxa" w:w="2880"/>
          </w:tcPr>
          <w:p>
            <w:r>
              <w:t>重算相同口径基线/现值，识别风险转移</w:t>
            </w:r>
          </w:p>
        </w:tc>
        <w:tc>
          <w:tcPr>
            <w:tcW w:type="dxa" w:w="2880"/>
          </w:tcPr>
          <w:p>
            <w:r>
              <w:t>风险管理员+财务（金额类）</w:t>
            </w:r>
          </w:p>
        </w:tc>
      </w:tr>
      <w:tr>
        <w:tc>
          <w:tcPr>
            <w:tcW w:type="dxa" w:w="2880"/>
          </w:tcPr>
          <w:p>
            <w:r>
              <w:t>超期</w:t>
            </w:r>
          </w:p>
        </w:tc>
        <w:tc>
          <w:tcPr>
            <w:tcW w:type="dxa" w:w="2880"/>
          </w:tcPr>
          <w:p>
            <w:r>
              <w:t>提醒并按配置升级</w:t>
            </w:r>
          </w:p>
        </w:tc>
        <w:tc>
          <w:tcPr>
            <w:tcW w:type="dxa" w:w="2880"/>
          </w:tcPr>
          <w:p>
            <w:r>
              <w:t>直属主管/负责人</w:t>
            </w:r>
          </w:p>
        </w:tc>
      </w:tr>
    </w:tbl>
    <w:p>
      <w:r>
        <w:t>处置效果=初始基线风险金额−同口径复核金额；同时记录“已确认消除”“暂时转移”“自然变化”三种归因，延期PO不得自动记为永久降低。</w:t>
      </w:r>
    </w:p>
    <w:p>
      <w:pPr>
        <w:pStyle w:val="Heading1"/>
      </w:pPr>
      <w:r>
        <w:t>9. 技术实现与接口设计</w:t>
      </w:r>
    </w:p>
    <w:p>
      <w:r>
        <w:t>建议采用分层数据仓库：ODS原始Excel/ERP快照、DWD标准化事实、DWS周度库存与风险汇总、ADS前端指标服务。初期可用Python ETL+关系型数据库+Web API；后续可替换ERP/MDS自动接口。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API示例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输入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</w:tr>
      <w:tr>
        <w:tc>
          <w:tcPr>
            <w:tcW w:type="dxa" w:w="2160"/>
          </w:tcPr>
          <w:p>
            <w:r>
              <w:t>/api/v1/dashboard/overview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date,bu,factory,project</w:t>
            </w:r>
          </w:p>
        </w:tc>
        <w:tc>
          <w:tcPr>
            <w:tcW w:type="dxa" w:w="2160"/>
          </w:tcPr>
          <w:p>
            <w:r>
              <w:t>KPI及版本元数据</w:t>
            </w:r>
          </w:p>
        </w:tc>
      </w:tr>
      <w:tr>
        <w:tc>
          <w:tcPr>
            <w:tcW w:type="dxa" w:w="2160"/>
          </w:tcPr>
          <w:p>
            <w:r>
              <w:t>/api/v1/inventory/forecast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material,week_from,week_to,scenario</w:t>
            </w:r>
          </w:p>
        </w:tc>
        <w:tc>
          <w:tcPr>
            <w:tcW w:type="dxa" w:w="2160"/>
          </w:tcPr>
          <w:p>
            <w:r>
              <w:t>周库存/缺料/超额序列</w:t>
            </w:r>
          </w:p>
        </w:tc>
      </w:tr>
      <w:tr>
        <w:tc>
          <w:tcPr>
            <w:tcW w:type="dxa" w:w="2160"/>
          </w:tcPr>
          <w:p>
            <w:r>
              <w:t>/api/v1/risks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type,level,owner,page</w:t>
            </w:r>
          </w:p>
        </w:tc>
        <w:tc>
          <w:tcPr>
            <w:tcW w:type="dxa" w:w="2160"/>
          </w:tcPr>
          <w:p>
            <w:r>
              <w:t>风险事件列表</w:t>
            </w:r>
          </w:p>
        </w:tc>
      </w:tr>
      <w:tr>
        <w:tc>
          <w:tcPr>
            <w:tcW w:type="dxa" w:w="2160"/>
          </w:tcPr>
          <w:p>
            <w:r>
              <w:t>/api/v1/risks/{id}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risk_id</w:t>
            </w:r>
          </w:p>
        </w:tc>
        <w:tc>
          <w:tcPr>
            <w:tcW w:type="dxa" w:w="2160"/>
          </w:tcPr>
          <w:p>
            <w:r>
              <w:t>证据链及计算过程</w:t>
            </w:r>
          </w:p>
        </w:tc>
      </w:tr>
      <w:tr>
        <w:tc>
          <w:tcPr>
            <w:tcW w:type="dxa" w:w="2160"/>
          </w:tcPr>
          <w:p>
            <w:r>
              <w:t>/api/v1/risks/{id}/actions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动作、责任人、截止日</w:t>
            </w:r>
          </w:p>
        </w:tc>
        <w:tc>
          <w:tcPr>
            <w:tcW w:type="dxa" w:w="2160"/>
          </w:tcPr>
          <w:p>
            <w:r>
              <w:t>动作记录及状态</w:t>
            </w:r>
          </w:p>
        </w:tc>
      </w:tr>
      <w:tr>
        <w:tc>
          <w:tcPr>
            <w:tcW w:type="dxa" w:w="2160"/>
          </w:tcPr>
          <w:p>
            <w:r>
              <w:t>/api/v1/scenarios/evaluate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价格/需求/交期假设</w:t>
            </w:r>
          </w:p>
        </w:tc>
        <w:tc>
          <w:tcPr>
            <w:tcW w:type="dxa" w:w="2160"/>
          </w:tcPr>
          <w:p>
            <w:r>
              <w:t>情景损失、缺口变化</w:t>
            </w:r>
          </w:p>
        </w:tc>
      </w:tr>
      <w:tr>
        <w:tc>
          <w:tcPr>
            <w:tcW w:type="dxa" w:w="2160"/>
          </w:tcPr>
          <w:p>
            <w:r>
              <w:t>/api/v1/imports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文件、数据类型、版本</w:t>
            </w:r>
          </w:p>
        </w:tc>
        <w:tc>
          <w:tcPr>
            <w:tcW w:type="dxa" w:w="2160"/>
          </w:tcPr>
          <w:p>
            <w:r>
              <w:t>导入批次与校验结果</w:t>
            </w:r>
          </w:p>
        </w:tc>
      </w:tr>
      <w:tr>
        <w:tc>
          <w:tcPr>
            <w:tcW w:type="dxa" w:w="2160"/>
          </w:tcPr>
          <w:p>
            <w:r>
              <w:t>/api/v1/rules</w:t>
            </w:r>
          </w:p>
        </w:tc>
        <w:tc>
          <w:tcPr>
            <w:tcW w:type="dxa" w:w="2160"/>
          </w:tcPr>
          <w:p>
            <w:r>
              <w:t>GET/PUT</w:t>
            </w:r>
          </w:p>
        </w:tc>
        <w:tc>
          <w:tcPr>
            <w:tcW w:type="dxa" w:w="2160"/>
          </w:tcPr>
          <w:p>
            <w:r>
              <w:t>规则及审批信息</w:t>
            </w:r>
          </w:p>
        </w:tc>
        <w:tc>
          <w:tcPr>
            <w:tcW w:type="dxa" w:w="2160"/>
          </w:tcPr>
          <w:p>
            <w:r>
              <w:t>规则版本</w:t>
            </w:r>
          </w:p>
        </w:tc>
      </w:tr>
    </w:tbl>
    <w:p>
      <w:r>
        <w:t>计算任务建议：每日夜间全量刷新；MDS发布、PO变更、库存入账时增量触发；失败回滚至上一已发布快照。所有输出带run_id、source_batch_id、rule_version、as_of_date；同输入+同版本应幂等。</w:t>
      </w:r>
    </w:p>
    <w:p>
      <w:pPr>
        <w:pStyle w:val="Heading1"/>
      </w:pPr>
      <w:r>
        <w:t>10. 数据质量校验与异常处理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校验</w:t>
            </w:r>
          </w:p>
        </w:tc>
        <w:tc>
          <w:tcPr>
            <w:tcW w:type="dxa" w:w="4320"/>
          </w:tcPr>
          <w:p>
            <w:r>
              <w:t>具体规则</w:t>
            </w:r>
          </w:p>
        </w:tc>
      </w:tr>
      <w:tr>
        <w:tc>
          <w:tcPr>
            <w:tcW w:type="dxa" w:w="4320"/>
          </w:tcPr>
          <w:p>
            <w:r>
              <w:t>主键唯一</w:t>
            </w:r>
          </w:p>
        </w:tc>
        <w:tc>
          <w:tcPr>
            <w:tcW w:type="dxa" w:w="4320"/>
          </w:tcPr>
          <w:p>
            <w:r>
              <w:t>物料、项目、PO行、库存批次快照、MDS复合键不得重复</w:t>
            </w:r>
          </w:p>
        </w:tc>
      </w:tr>
      <w:tr>
        <w:tc>
          <w:tcPr>
            <w:tcW w:type="dxa" w:w="4320"/>
          </w:tcPr>
          <w:p>
            <w:r>
              <w:t>外键完整</w:t>
            </w:r>
          </w:p>
        </w:tc>
        <w:tc>
          <w:tcPr>
            <w:tcW w:type="dxa" w:w="4320"/>
          </w:tcPr>
          <w:p>
            <w:r>
              <w:t>所有项目、物料、PO、批次引用必须可追溯</w:t>
            </w:r>
          </w:p>
        </w:tc>
      </w:tr>
      <w:tr>
        <w:tc>
          <w:tcPr>
            <w:tcW w:type="dxa" w:w="4320"/>
          </w:tcPr>
          <w:p>
            <w:r>
              <w:t>PO守恒</w:t>
            </w:r>
          </w:p>
        </w:tc>
        <w:tc>
          <w:tcPr>
            <w:tcW w:type="dxa" w:w="4320"/>
          </w:tcPr>
          <w:p>
            <w:r>
              <w:t>订单数量=已收+未交；运输中+待发≤未交</w:t>
            </w:r>
          </w:p>
        </w:tc>
      </w:tr>
      <w:tr>
        <w:tc>
          <w:tcPr>
            <w:tcW w:type="dxa" w:w="4320"/>
          </w:tcPr>
          <w:p>
            <w:r>
              <w:t>库存守恒</w:t>
            </w:r>
          </w:p>
        </w:tc>
        <w:tc>
          <w:tcPr>
            <w:tcW w:type="dxa" w:w="4320"/>
          </w:tcPr>
          <w:p>
            <w:r>
              <w:t>现有=可用+冻结；已分配≤允许分配基数</w:t>
            </w:r>
          </w:p>
        </w:tc>
      </w:tr>
      <w:tr>
        <w:tc>
          <w:tcPr>
            <w:tcW w:type="dxa" w:w="4320"/>
          </w:tcPr>
          <w:p>
            <w:r>
              <w:t>金额勾稽</w:t>
            </w:r>
          </w:p>
        </w:tc>
        <w:tc>
          <w:tcPr>
            <w:tcW w:type="dxa" w:w="4320"/>
          </w:tcPr>
          <w:p>
            <w:r>
              <w:t>账面总成本≈数量×单位成本（容忍分角舍入）</w:t>
            </w:r>
          </w:p>
        </w:tc>
      </w:tr>
      <w:tr>
        <w:tc>
          <w:tcPr>
            <w:tcW w:type="dxa" w:w="4320"/>
          </w:tcPr>
          <w:p>
            <w:r>
              <w:t>时间合法</w:t>
            </w:r>
          </w:p>
        </w:tc>
        <w:tc>
          <w:tcPr>
            <w:tcW w:type="dxa" w:w="4320"/>
          </w:tcPr>
          <w:p>
            <w:r>
              <w:t>承诺到货与变更窗口、入库日期与快照日期合理</w:t>
            </w:r>
          </w:p>
        </w:tc>
      </w:tr>
      <w:tr>
        <w:tc>
          <w:tcPr>
            <w:tcW w:type="dxa" w:w="4320"/>
          </w:tcPr>
          <w:p>
            <w:r>
              <w:t>价格可比</w:t>
            </w:r>
          </w:p>
        </w:tc>
        <w:tc>
          <w:tcPr>
            <w:tcW w:type="dxa" w:w="4320"/>
          </w:tcPr>
          <w:p>
            <w:r>
              <w:t>规格、地区、含税、单位、币种一致才可直接比较</w:t>
            </w:r>
          </w:p>
        </w:tc>
      </w:tr>
      <w:tr>
        <w:tc>
          <w:tcPr>
            <w:tcW w:type="dxa" w:w="4320"/>
          </w:tcPr>
          <w:p>
            <w:r>
              <w:t>版本一致</w:t>
            </w:r>
          </w:p>
        </w:tc>
        <w:tc>
          <w:tcPr>
            <w:tcW w:type="dxa" w:w="4320"/>
          </w:tcPr>
          <w:p>
            <w:r>
              <w:t>MDS需求期不得早于版本发布时间且作为未来需求误用</w:t>
            </w:r>
          </w:p>
        </w:tc>
      </w:tr>
      <w:tr>
        <w:tc>
          <w:tcPr>
            <w:tcW w:type="dxa" w:w="4320"/>
          </w:tcPr>
          <w:p>
            <w:r>
              <w:t>阈值有效</w:t>
            </w:r>
          </w:p>
        </w:tc>
        <w:tc>
          <w:tcPr>
            <w:tcW w:type="dxa" w:w="4320"/>
          </w:tcPr>
          <w:p>
            <w:r>
              <w:t>安全库存不负、目标覆盖期非负、评分权重总和为1</w:t>
            </w:r>
          </w:p>
        </w:tc>
      </w:tr>
      <w:tr>
        <w:tc>
          <w:tcPr>
            <w:tcW w:type="dxa" w:w="4320"/>
          </w:tcPr>
          <w:p>
            <w:r>
              <w:t>缺失处理</w:t>
            </w:r>
          </w:p>
        </w:tc>
        <w:tc>
          <w:tcPr>
            <w:tcW w:type="dxa" w:w="4320"/>
          </w:tcPr>
          <w:p>
            <w:r>
              <w:t>关键字段缺失阻断发布；非关键字段缺失降级并标注置信度</w:t>
            </w:r>
          </w:p>
        </w:tc>
      </w:tr>
    </w:tbl>
    <w:p>
      <w:r>
        <w:t>已生成模拟数据仅作为开发种子数据。特别需要在首次ETL时核查：风险评估结果是否能由当前事实表重新推导、已分配量与可用量是否重复扣减、战备台账的PO/批次关联是否一一对应、价格情景基准价是否与最新市场价匹配。不能直接把模拟风险评估结果当作算法正确性的证明。</w:t>
      </w:r>
    </w:p>
    <w:p>
      <w:pPr>
        <w:pStyle w:val="Heading1"/>
      </w:pPr>
      <w:r>
        <w:t>11. 测试场景、验收用例与边界条件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输入场景</w:t>
            </w:r>
          </w:p>
        </w:tc>
        <w:tc>
          <w:tcPr>
            <w:tcW w:type="dxa" w:w="2880"/>
          </w:tcPr>
          <w:p>
            <w:r>
              <w:t>预期结果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正常物料，需求稳定，PO按时</w:t>
            </w:r>
          </w:p>
        </w:tc>
        <w:tc>
          <w:tcPr>
            <w:tcW w:type="dxa" w:w="2880"/>
          </w:tcPr>
          <w:p>
            <w:r>
              <w:t>无异常风险，库存递推正确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项目取消但库存较高</w:t>
            </w:r>
          </w:p>
        </w:tc>
        <w:tc>
          <w:tcPr>
            <w:tcW w:type="dxa" w:w="2880"/>
          </w:tcPr>
          <w:p>
            <w:r>
              <w:t>超额库存/呆滞告警，金额可追溯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连续两版MDS下降</w:t>
            </w:r>
          </w:p>
        </w:tc>
        <w:tc>
          <w:tcPr>
            <w:tcW w:type="dxa" w:w="2880"/>
          </w:tcPr>
          <w:p>
            <w:r>
              <w:t>趋势告警且固定需求周比较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PO延迟跨越需求周</w:t>
            </w:r>
          </w:p>
        </w:tc>
        <w:tc>
          <w:tcPr>
            <w:tcW w:type="dxa" w:w="2880"/>
          </w:tcPr>
          <w:p>
            <w:r>
              <w:t>首次缺料日期提前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PO运输中+待发重复计数陷阱</w:t>
            </w:r>
          </w:p>
        </w:tc>
        <w:tc>
          <w:tcPr>
            <w:tcW w:type="dxa" w:w="2880"/>
          </w:tcPr>
          <w:p>
            <w:r>
              <w:t>供应量仅计未交一次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同批次同时跌价与砍单</w:t>
            </w:r>
          </w:p>
        </w:tc>
        <w:tc>
          <w:tcPr>
            <w:tcW w:type="dxa" w:w="2880"/>
          </w:tcPr>
          <w:p>
            <w:r>
              <w:t>金额不重复叠加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零需求</w:t>
            </w:r>
          </w:p>
        </w:tc>
        <w:tc>
          <w:tcPr>
            <w:tcW w:type="dxa" w:w="2880"/>
          </w:tcPr>
          <w:p>
            <w:r>
              <w:t>覆盖天数不除零，显示无消耗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高库存但项目EOL</w:t>
            </w:r>
          </w:p>
        </w:tc>
        <w:tc>
          <w:tcPr>
            <w:tcW w:type="dxa" w:w="2880"/>
          </w:tcPr>
          <w:p>
            <w:r>
              <w:t>库存风险高，供应风险可低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低库存且已锁定需求</w:t>
            </w:r>
          </w:p>
        </w:tc>
        <w:tc>
          <w:tcPr>
            <w:tcW w:type="dxa" w:w="2880"/>
          </w:tcPr>
          <w:p>
            <w:r>
              <w:t>供应风险高，库存风险可低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PO最后变更日已过</w:t>
            </w:r>
          </w:p>
        </w:tc>
        <w:tc>
          <w:tcPr>
            <w:tcW w:type="dxa" w:w="2880"/>
          </w:tcPr>
          <w:p>
            <w:r>
              <w:t>禁止推荐可取消，显示锁定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替代料未认证</w:t>
            </w:r>
          </w:p>
        </w:tc>
        <w:tc>
          <w:tcPr>
            <w:tcW w:type="dxa" w:w="2880"/>
          </w:tcPr>
          <w:p>
            <w:r>
              <w:t>不得计入可转用量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同一批次多项目共享</w:t>
            </w:r>
          </w:p>
        </w:tc>
        <w:tc>
          <w:tcPr>
            <w:tcW w:type="dxa" w:w="2880"/>
          </w:tcPr>
          <w:p>
            <w:r>
              <w:t>分配总量不超过可用量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Excel字段缺失/重复键</w:t>
            </w:r>
          </w:p>
        </w:tc>
        <w:tc>
          <w:tcPr>
            <w:tcW w:type="dxa" w:w="2880"/>
          </w:tcPr>
          <w:p>
            <w:r>
              <w:t>导入阻断并给出行级错误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风险解除后再发生</w:t>
            </w:r>
          </w:p>
        </w:tc>
        <w:tc>
          <w:tcPr>
            <w:tcW w:type="dxa" w:w="2880"/>
          </w:tcPr>
          <w:p>
            <w:r>
              <w:t>保留历史，可重新开启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不同角色查看价格</w:t>
            </w:r>
          </w:p>
        </w:tc>
        <w:tc>
          <w:tcPr>
            <w:tcW w:type="dxa" w:w="2880"/>
          </w:tcPr>
          <w:p>
            <w:r>
              <w:t>按权限隐藏或脱敏</w:t>
            </w:r>
          </w:p>
        </w:tc>
      </w:tr>
    </w:tbl>
    <w:p>
      <w:pPr>
        <w:pStyle w:val="Heading1"/>
      </w:pPr>
      <w:r>
        <w:t>12. 性能、可靠性与安全非功能需求</w:t>
      </w:r>
    </w:p>
    <w:p>
      <w:pPr>
        <w:pStyle w:val="ListBullet"/>
      </w:pPr>
      <w:r>
        <w:t>【建议】首页常用筛选P95响应≤3秒；复杂26周情景计算≤10秒，超过阈值异步任务返回进度。</w:t>
      </w:r>
    </w:p>
    <w:p>
      <w:pPr>
        <w:pStyle w:val="ListBullet"/>
      </w:pPr>
      <w:r>
        <w:t>【建议】支持至少10万库存批次、100万MDS行、10万PO行的扩展目标；以压测定版。</w:t>
      </w:r>
    </w:p>
    <w:p>
      <w:pPr>
        <w:pStyle w:val="ListBullet"/>
      </w:pPr>
      <w:r>
        <w:t>刷新失败保持上一可用版本并显示“数据过期”；禁止静默回退导致误判。</w:t>
      </w:r>
    </w:p>
    <w:p>
      <w:pPr>
        <w:pStyle w:val="ListBullet"/>
      </w:pPr>
      <w:r>
        <w:t>接口鉴权、传输加密、审计日志、价格权限、导出水印及敏感数据保留策略。</w:t>
      </w:r>
    </w:p>
    <w:p>
      <w:pPr>
        <w:pStyle w:val="ListBullet"/>
      </w:pPr>
      <w:r>
        <w:t>重要指标支持逐层下钻与CSV/Excel导出；跨日计算固定as_of_date避免时点漂移。</w:t>
      </w:r>
    </w:p>
    <w:p>
      <w:pPr>
        <w:pStyle w:val="Heading1"/>
      </w:pPr>
      <w:r>
        <w:t>13. 开发里程碑与交付物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主要工作</w:t>
            </w:r>
          </w:p>
        </w:tc>
        <w:tc>
          <w:tcPr>
            <w:tcW w:type="dxa" w:w="2880"/>
          </w:tcPr>
          <w:p>
            <w:r>
              <w:t>验收交付</w:t>
            </w:r>
          </w:p>
        </w:tc>
      </w:tr>
      <w:tr>
        <w:tc>
          <w:tcPr>
            <w:tcW w:type="dxa" w:w="2880"/>
          </w:tcPr>
          <w:p>
            <w:r>
              <w:t>M0 业务定版</w:t>
            </w:r>
          </w:p>
        </w:tc>
        <w:tc>
          <w:tcPr>
            <w:tcW w:type="dxa" w:w="2880"/>
          </w:tcPr>
          <w:p>
            <w:r>
              <w:t>口径确认、字段责任、阈值审批</w:t>
            </w:r>
          </w:p>
        </w:tc>
        <w:tc>
          <w:tcPr>
            <w:tcW w:type="dxa" w:w="2880"/>
          </w:tcPr>
          <w:p>
            <w:r>
              <w:t>签字版指标字典、风险规则</w:t>
            </w:r>
          </w:p>
        </w:tc>
      </w:tr>
      <w:tr>
        <w:tc>
          <w:tcPr>
            <w:tcW w:type="dxa" w:w="2880"/>
          </w:tcPr>
          <w:p>
            <w:r>
              <w:t>M1 数据底座</w:t>
            </w:r>
          </w:p>
        </w:tc>
        <w:tc>
          <w:tcPr>
            <w:tcW w:type="dxa" w:w="2880"/>
          </w:tcPr>
          <w:p>
            <w:r>
              <w:t>21表接入、主外键、清洗、快照</w:t>
            </w:r>
          </w:p>
        </w:tc>
        <w:tc>
          <w:tcPr>
            <w:tcW w:type="dxa" w:w="2880"/>
          </w:tcPr>
          <w:p>
            <w:r>
              <w:t>数据质量报告、可重跑ETL</w:t>
            </w:r>
          </w:p>
        </w:tc>
      </w:tr>
      <w:tr>
        <w:tc>
          <w:tcPr>
            <w:tcW w:type="dxa" w:w="2880"/>
          </w:tcPr>
          <w:p>
            <w:r>
              <w:t>M2 核心引擎</w:t>
            </w:r>
          </w:p>
        </w:tc>
        <w:tc>
          <w:tcPr>
            <w:tcW w:type="dxa" w:w="2880"/>
          </w:tcPr>
          <w:p>
            <w:r>
              <w:t>滚动库存、需求版本、超储、缺料</w:t>
            </w:r>
          </w:p>
        </w:tc>
        <w:tc>
          <w:tcPr>
            <w:tcW w:type="dxa" w:w="2880"/>
          </w:tcPr>
          <w:p>
            <w:r>
              <w:t>算法测试及勾稽报告</w:t>
            </w:r>
          </w:p>
        </w:tc>
      </w:tr>
      <w:tr>
        <w:tc>
          <w:tcPr>
            <w:tcW w:type="dxa" w:w="2880"/>
          </w:tcPr>
          <w:p>
            <w:r>
              <w:t>M3 可视化</w:t>
            </w:r>
          </w:p>
        </w:tc>
        <w:tc>
          <w:tcPr>
            <w:tcW w:type="dxa" w:w="2880"/>
          </w:tcPr>
          <w:p>
            <w:r>
              <w:t>首页、供应、库存、下钻、筛选</w:t>
            </w:r>
          </w:p>
        </w:tc>
        <w:tc>
          <w:tcPr>
            <w:tcW w:type="dxa" w:w="2880"/>
          </w:tcPr>
          <w:p>
            <w:r>
              <w:t>可演示Web看板</w:t>
            </w:r>
          </w:p>
        </w:tc>
      </w:tr>
      <w:tr>
        <w:tc>
          <w:tcPr>
            <w:tcW w:type="dxa" w:w="2880"/>
          </w:tcPr>
          <w:p>
            <w:r>
              <w:t>M4 情景与PO</w:t>
            </w:r>
          </w:p>
        </w:tc>
        <w:tc>
          <w:tcPr>
            <w:tcW w:type="dxa" w:w="2880"/>
          </w:tcPr>
          <w:p>
            <w:r>
              <w:t>价格压力、不可撤销PO、替代</w:t>
            </w:r>
          </w:p>
        </w:tc>
        <w:tc>
          <w:tcPr>
            <w:tcW w:type="dxa" w:w="2880"/>
          </w:tcPr>
          <w:p>
            <w:r>
              <w:t>情景模拟与PO干预页</w:t>
            </w:r>
          </w:p>
        </w:tc>
      </w:tr>
      <w:tr>
        <w:tc>
          <w:tcPr>
            <w:tcW w:type="dxa" w:w="2880"/>
          </w:tcPr>
          <w:p>
            <w:r>
              <w:t>M5 闭环与验收</w:t>
            </w:r>
          </w:p>
        </w:tc>
        <w:tc>
          <w:tcPr>
            <w:tcW w:type="dxa" w:w="2880"/>
          </w:tcPr>
          <w:p>
            <w:r>
              <w:t>事件状态机、权限、审计、UAT</w:t>
            </w:r>
          </w:p>
        </w:tc>
        <w:tc>
          <w:tcPr>
            <w:tcW w:type="dxa" w:w="2880"/>
          </w:tcPr>
          <w:p>
            <w:r>
              <w:t>UAT记录、操作手册、上线清单</w:t>
            </w:r>
          </w:p>
        </w:tc>
      </w:tr>
    </w:tbl>
    <w:p>
      <w:pPr>
        <w:pStyle w:val="Heading1"/>
      </w:pPr>
      <w:r>
        <w:t>14. 待业务确认事项（上线阻断清单）</w:t>
      </w:r>
    </w:p>
    <w:p>
      <w:pPr>
        <w:pStyle w:val="ListBullet"/>
      </w:pPr>
      <w:r>
        <w:t>“可用库存”是否已经扣除已分配量？按工厂、仓库还是公司统一共享？</w:t>
      </w:r>
    </w:p>
    <w:p>
      <w:pPr>
        <w:pStyle w:val="ListBullet"/>
      </w:pPr>
      <w:r>
        <w:t>MDS表需求数量是终端产品台数还是物料颗数？版本发布日期、需求周的自然周规则是什么？</w:t>
      </w:r>
    </w:p>
    <w:p>
      <w:pPr>
        <w:pStyle w:val="ListBullet"/>
      </w:pPr>
      <w:r>
        <w:t>安全库存与目标库存天数是否包含关系？战略库存能否通过PO/批次唯一识别？</w:t>
      </w:r>
    </w:p>
    <w:p>
      <w:pPr>
        <w:pStyle w:val="ListBullet"/>
      </w:pPr>
      <w:r>
        <w:t>跨项目共享料号的需求分配优先级及替代认证生效规则是什么？</w:t>
      </w:r>
    </w:p>
    <w:p>
      <w:pPr>
        <w:pStyle w:val="ListBullet"/>
      </w:pPr>
      <w:r>
        <w:t>未交PO中运输中/待发的字段含义及取消、延期是否可同时作用于同一数量？</w:t>
      </w:r>
    </w:p>
    <w:p>
      <w:pPr>
        <w:pStyle w:val="ListBullet"/>
      </w:pPr>
      <w:r>
        <w:t>市场价格取现货、合约价还是采购可执行报价？是否含税、运输、汇率？</w:t>
      </w:r>
    </w:p>
    <w:p>
      <w:pPr>
        <w:pStyle w:val="ListBullet"/>
      </w:pPr>
      <w:r>
        <w:t>风险金额是库存敞口、损失情景还是财务减值？审批权限归属谁？</w:t>
      </w:r>
    </w:p>
    <w:p>
      <w:pPr>
        <w:pStyle w:val="ListBullet"/>
      </w:pPr>
      <w:r>
        <w:t>告警阈值、风险权重、SLA和风险关闭条件由哪个部门签字？</w:t>
      </w:r>
    </w:p>
    <w:p>
      <w:pPr>
        <w:pStyle w:val="Heading1"/>
      </w:pPr>
      <w:r>
        <w:t>附录A：21张模拟数据表字段字典（按实际Excel表头）</w:t>
      </w:r>
    </w:p>
    <w:p>
      <w:pPr>
        <w:pStyle w:val="Heading2"/>
      </w:pPr>
      <w:r>
        <w:t>01_物料与项目基础数据_模拟数据.xlsx</w:t>
      </w:r>
    </w:p>
    <w:p>
      <w:pPr>
        <w:pStyle w:val="Heading3"/>
      </w:pPr>
      <w:r>
        <w:t>物料主数据</w:t>
      </w:r>
    </w:p>
    <w:p>
      <w:r>
        <w:t>字段（按Excel原始顺序）：物料编码、物料名称、物料类别、DRAM_NAND分类、品牌、供应商、容量、规格、封装、速度等级、单位、关键等级、生命周期状态、EOL日期、最小包装量、数据更新时间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项目主数据</w:t>
      </w:r>
    </w:p>
    <w:p>
      <w:r>
        <w:t>字段（按Excel原始顺序）：项目编码、项目名称、业务单元、产品族、工厂、项目负责人、项目状态、计划量产日期、预计停产日期、取消或暂停日期、项目风险说明、数据更新时间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项目物料映射</w:t>
      </w:r>
    </w:p>
    <w:p>
      <w:r>
        <w:t>字段（按Excel原始顺序）：项目编码、物料编码、单机用量、适配状态、生效日期、失效日期、优先分配规则、数据更新时间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替代料与认证</w:t>
      </w:r>
    </w:p>
    <w:p>
      <w:r>
        <w:t>字段（按Excel原始顺序）：原物料编码、替代物料编码、适用项目编码、技术兼容状态、认证状态、认证完成日期、替代比例、可转用数量上限、数据更新时间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组织责任映射</w:t>
      </w:r>
    </w:p>
    <w:p>
      <w:r>
        <w:t>字段（按Excel原始顺序）：业务单元、工厂、产品族、物料编码、计划员、采购员、项目负责人、风险负责人、数据更新时间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2"/>
      </w:pPr>
      <w:r>
        <w:t>02_需求计划与库存供应_模拟数据.xlsx</w:t>
      </w:r>
    </w:p>
    <w:p>
      <w:pPr>
        <w:pStyle w:val="Heading3"/>
      </w:pPr>
      <w:r>
        <w:t>MDS需求版本</w:t>
      </w:r>
    </w:p>
    <w:p>
      <w:r>
        <w:t>字段（按Excel原始顺序）：需求版本号、版本发布日期、需求周或月、项目编码、物料编码、需求数量、需求类别、是否锁定、需求确定性等级、调整原因、数据更新时间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实际消耗与出货</w:t>
      </w:r>
    </w:p>
    <w:p>
      <w:r>
        <w:t>字段（按Excel原始顺序）：日期、项目编码、物料编码、生产消耗数量、实际出货数量、退料数量、工厂、数据更新时间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库存批次快照</w:t>
      </w:r>
    </w:p>
    <w:p>
      <w:r>
        <w:t>字段（按Excel原始顺序）：快照日期、物料编码、仓库、工厂、库存批次、库存状态、现有数量、可用数量、冻结数量、已分配数量、安全库存数量、单位库存成本、币种、入库日期、库龄天数、库存所有权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采购订单明细</w:t>
      </w:r>
    </w:p>
    <w:p>
      <w:r>
        <w:t>字段（按Excel原始顺序）：PO号、PO行号、物料编码、供应商、项目编码、采购类型、订单日期、原定到货日期、承诺到货日期、订单数量、已收货数量、未交数量、运输中数量、已确认待发数量、采购单价、币种、订单状态、可取消数量、可延期数量、取消费用、最后变更日期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供应商交付与产能</w:t>
      </w:r>
    </w:p>
    <w:p>
      <w:r>
        <w:t>字段（按Excel原始顺序）：统计周期、供应商、物料编码、承诺交货数量、实际准时交货数量、OTD、标准交期天数、实际交期天数、交期波动天数、产能配额、产能利用率、良率、MOQ、数据更新时间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库存策略参数</w:t>
      </w:r>
    </w:p>
    <w:p>
      <w:r>
        <w:t>字段（按Excel原始顺序）：物料编码、业务单元、工厂、策略生效日期、安全库存数量、目标库存天数、战略覆盖上限天数、补货周期天数、目标服务水平、数据更新时间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2"/>
      </w:pPr>
      <w:r>
        <w:t>03_战备成本与价格风险_模拟数据.xlsx</w:t>
      </w:r>
    </w:p>
    <w:p>
      <w:pPr>
        <w:pStyle w:val="Heading3"/>
      </w:pPr>
      <w:r>
        <w:t>战略备货台账</w:t>
      </w:r>
    </w:p>
    <w:p>
      <w:r>
        <w:t>字段（按Excel原始顺序）：战备决策编号、物料编码、关联项目编码、对应PO号、对应库存批次、决策日期、决策原因、批准人、战备计划数量、实际采购数量、已到货数量、目标覆盖起始日、目标覆盖结束日、采购价格、币种、战略库存归属规则、计划退出日期、决策状态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内存价格历史</w:t>
      </w:r>
    </w:p>
    <w:p>
      <w:r>
        <w:t>字段（按Excel原始顺序）：价格日期、物料编码、价格类型、价格来源、可比规格、地区、币种、报价单位、市场价格、合同价格、采购价格、价格有效期、数据更新时间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价格情景参数</w:t>
      </w:r>
    </w:p>
    <w:p>
      <w:r>
        <w:t>字段（按Excel原始顺序）：情景编号、情景名称、物料编码、模拟日期、价格变化百分比、情景价格、情景说明、假设来源、数据更新时间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库存财务成本</w:t>
      </w:r>
    </w:p>
    <w:p>
      <w:r>
        <w:t>字段（按Excel原始顺序）：核算日期、物料编码、库存批次、数量、账面单位成本、账面总成本、币种、汇率、仓储费率、年化资金成本率、预计残值率、已计提减值、数据更新时间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供应质量风险</w:t>
      </w:r>
    </w:p>
    <w:p>
      <w:r>
        <w:t>字段（按Excel原始顺序）：统计周期、供应商、物料编码、质量PPM、来料不良数量、检验数量、批次异常数量、质量风险等级、地缘风险等级、风险事件说明、数据更新时间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2"/>
      </w:pPr>
      <w:r>
        <w:t>04_风险模型与处置闭环_模拟数据.xlsx</w:t>
      </w:r>
    </w:p>
    <w:p>
      <w:pPr>
        <w:pStyle w:val="Heading3"/>
      </w:pPr>
      <w:r>
        <w:t>风险规则参数</w:t>
      </w:r>
    </w:p>
    <w:p>
      <w:r>
        <w:t>字段（按Excel原始顺序）：规则编号、风险方向、风险维度、指标名称、计算口径、预警阈值、严重阈值、权重、生效日期、规则版本、规则负责人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风险评估结果</w:t>
      </w:r>
    </w:p>
    <w:p>
      <w:r>
        <w:t>字段（按Excel原始顺序）：评估日期、物料编码、项目编码、库存批次、风险方向、供应风险分、库存风险分、风险等级、主要风险驱动、风险关联库存金额、超额库存金额、价格负敞口、情景潜在损失金额、缺料数量、预计首次缺料日期、数据版本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风险处置台账</w:t>
      </w:r>
    </w:p>
    <w:p>
      <w:r>
        <w:t>字段（按Excel原始顺序）：风险事件编号、发现日期、物料编码、项目编码、风险类型、风险描述、风险初始金额、建议动作、确认动作、责任人、协作人、截止日期、处置状态、预计减少风险金额、已验证减少风险金额、复核日期、关闭日期、备注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风险历史快照</w:t>
      </w:r>
    </w:p>
    <w:p>
      <w:r>
        <w:t>字段（按Excel原始顺序）：快照日期、风险事件编号、物料编码、风险等级、风险金额、超额库存数量、缺料数量、处置状态、变化原因、数据更新时间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3"/>
      </w:pPr>
      <w:r>
        <w:t>指标字典</w:t>
      </w:r>
    </w:p>
    <w:p>
      <w:r>
        <w:t>字段（按Excel原始顺序）：指标名称、业务定义、计算公式或规则、计算粒度、时间窗口、输入表、输出单位、口径注意事项、指标负责人、规则版本</w:t>
      </w:r>
    </w:p>
    <w:p>
      <w:r>
        <w:t>数据约束：所有关联字段必须通过物料编码、项目编码、PO号/行号、库存批次及时间/版本维度建立关系；导入需保留原始行号与批次号。</w:t>
      </w:r>
    </w:p>
    <w:p>
      <w:pPr>
        <w:pStyle w:val="Heading1"/>
      </w:pPr>
      <w:r>
        <w:t>附录B：指标字典与研发交接要求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计算粒度</w:t>
            </w:r>
          </w:p>
        </w:tc>
        <w:tc>
          <w:tcPr>
            <w:tcW w:type="dxa" w:w="2880"/>
          </w:tcPr>
          <w:p>
            <w:r>
              <w:t>输出</w:t>
            </w:r>
          </w:p>
        </w:tc>
      </w:tr>
      <w:tr>
        <w:tc>
          <w:tcPr>
            <w:tcW w:type="dxa" w:w="2880"/>
          </w:tcPr>
          <w:p>
            <w:r>
              <w:t>未来周库存</w:t>
            </w:r>
          </w:p>
        </w:tc>
        <w:tc>
          <w:tcPr>
            <w:tcW w:type="dxa" w:w="2880"/>
          </w:tcPr>
          <w:p>
            <w:r>
              <w:t>物料×工厂×周×情景</w:t>
            </w:r>
          </w:p>
        </w:tc>
        <w:tc>
          <w:tcPr>
            <w:tcW w:type="dxa" w:w="2880"/>
          </w:tcPr>
          <w:p>
            <w:r>
              <w:t>期初、到货、需求、期末</w:t>
            </w:r>
          </w:p>
        </w:tc>
      </w:tr>
      <w:tr>
        <w:tc>
          <w:tcPr>
            <w:tcW w:type="dxa" w:w="2880"/>
          </w:tcPr>
          <w:p>
            <w:r>
              <w:t>首次缺料周</w:t>
            </w:r>
          </w:p>
        </w:tc>
        <w:tc>
          <w:tcPr>
            <w:tcW w:type="dxa" w:w="2880"/>
          </w:tcPr>
          <w:p>
            <w:r>
              <w:t>物料×工厂×情景</w:t>
            </w:r>
          </w:p>
        </w:tc>
        <w:tc>
          <w:tcPr>
            <w:tcW w:type="dxa" w:w="2880"/>
          </w:tcPr>
          <w:p>
            <w:r>
              <w:t>周日期/缺口量</w:t>
            </w:r>
          </w:p>
        </w:tc>
      </w:tr>
      <w:tr>
        <w:tc>
          <w:tcPr>
            <w:tcW w:type="dxa" w:w="2880"/>
          </w:tcPr>
          <w:p>
            <w:r>
              <w:t>战略超额库存</w:t>
            </w:r>
          </w:p>
        </w:tc>
        <w:tc>
          <w:tcPr>
            <w:tcW w:type="dxa" w:w="2880"/>
          </w:tcPr>
          <w:p>
            <w:r>
              <w:t>物料×工厂×批次/决策</w:t>
            </w:r>
          </w:p>
        </w:tc>
        <w:tc>
          <w:tcPr>
            <w:tcW w:type="dxa" w:w="2880"/>
          </w:tcPr>
          <w:p>
            <w:r>
              <w:t>数量/账面金额</w:t>
            </w:r>
          </w:p>
        </w:tc>
      </w:tr>
      <w:tr>
        <w:tc>
          <w:tcPr>
            <w:tcW w:type="dxa" w:w="2880"/>
          </w:tcPr>
          <w:p>
            <w:r>
              <w:t>MDS下调率</w:t>
            </w:r>
          </w:p>
        </w:tc>
        <w:tc>
          <w:tcPr>
            <w:tcW w:type="dxa" w:w="2880"/>
          </w:tcPr>
          <w:p>
            <w:r>
              <w:t>物料×项目×固定需求周</w:t>
            </w:r>
          </w:p>
        </w:tc>
        <w:tc>
          <w:tcPr>
            <w:tcW w:type="dxa" w:w="2880"/>
          </w:tcPr>
          <w:p>
            <w:r>
              <w:t>新旧版本变化率</w:t>
            </w:r>
          </w:p>
        </w:tc>
      </w:tr>
      <w:tr>
        <w:tc>
          <w:tcPr>
            <w:tcW w:type="dxa" w:w="2880"/>
          </w:tcPr>
          <w:p>
            <w:r>
              <w:t>价格负敞口</w:t>
            </w:r>
          </w:p>
        </w:tc>
        <w:tc>
          <w:tcPr>
            <w:tcW w:type="dxa" w:w="2880"/>
          </w:tcPr>
          <w:p>
            <w:r>
              <w:t>物料×批次×价格情景</w:t>
            </w:r>
          </w:p>
        </w:tc>
        <w:tc>
          <w:tcPr>
            <w:tcW w:type="dxa" w:w="2880"/>
          </w:tcPr>
          <w:p>
            <w:r>
              <w:t>CNY</w:t>
            </w:r>
          </w:p>
        </w:tc>
      </w:tr>
      <w:tr>
        <w:tc>
          <w:tcPr>
            <w:tcW w:type="dxa" w:w="2880"/>
          </w:tcPr>
          <w:p>
            <w:r>
              <w:t>PO锁定金额</w:t>
            </w:r>
          </w:p>
        </w:tc>
        <w:tc>
          <w:tcPr>
            <w:tcW w:type="dxa" w:w="2880"/>
          </w:tcPr>
          <w:p>
            <w:r>
              <w:t>PO行×评估日</w:t>
            </w:r>
          </w:p>
        </w:tc>
        <w:tc>
          <w:tcPr>
            <w:tcW w:type="dxa" w:w="2880"/>
          </w:tcPr>
          <w:p>
            <w:r>
              <w:t>CNY/干预期限</w:t>
            </w:r>
          </w:p>
        </w:tc>
      </w:tr>
      <w:tr>
        <w:tc>
          <w:tcPr>
            <w:tcW w:type="dxa" w:w="2880"/>
          </w:tcPr>
          <w:p>
            <w:r>
              <w:t>风险优先级</w:t>
            </w:r>
          </w:p>
        </w:tc>
        <w:tc>
          <w:tcPr>
            <w:tcW w:type="dxa" w:w="2880"/>
          </w:tcPr>
          <w:p>
            <w:r>
              <w:t>事件×评估日</w:t>
            </w:r>
          </w:p>
        </w:tc>
        <w:tc>
          <w:tcPr>
            <w:tcW w:type="dxa" w:w="2880"/>
          </w:tcPr>
          <w:p>
            <w:r>
              <w:t>严重度/金额/紧迫度</w:t>
            </w:r>
          </w:p>
        </w:tc>
      </w:tr>
      <w:tr>
        <w:tc>
          <w:tcPr>
            <w:tcW w:type="dxa" w:w="2880"/>
          </w:tcPr>
          <w:p>
            <w:r>
              <w:t>处置效果</w:t>
            </w:r>
          </w:p>
        </w:tc>
        <w:tc>
          <w:tcPr>
            <w:tcW w:type="dxa" w:w="2880"/>
          </w:tcPr>
          <w:p>
            <w:r>
              <w:t>风险事件×复核日</w:t>
            </w:r>
          </w:p>
        </w:tc>
        <w:tc>
          <w:tcPr>
            <w:tcW w:type="dxa" w:w="2880"/>
          </w:tcPr>
          <w:p>
            <w:r>
              <w:t>已验证降低金额及证据</w:t>
            </w:r>
          </w:p>
        </w:tc>
      </w:tr>
    </w:tbl>
    <w:p>
      <w:r>
        <w:t>研发交付要求：数据库ER图、字段映射文档、每个指标SQL/Python实现、规则版本配置、API OpenAPI规范、ETL日志、自动化测试、部署/回滚说明、风险处置权限矩阵。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内存战略备货风险管理看板 · PRD V1.0 · 内部评审稿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939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939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9395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939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