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  <w:snapToGrid w:val="0"/>
      </w:pPr>
      <w:r>
        <w:t>内存战略备货风险管理看板</w:t>
      </w:r>
    </w:p>
    <w:p>
      <w:pPr>
        <w:pStyle w:val="Heading1"/>
        <w:snapToGrid w:val="0"/>
      </w:pPr>
      <w:r>
        <w:t>一、作品概述</w:t>
      </w:r>
    </w:p>
    <w:p>
      <w:pPr>
        <w:ind w:firstLine="420"/>
        <w:snapToGrid w:val="0"/>
      </w:pPr>
      <w:r>
        <w:t>基于物料与项目、需求计划与库存供应、战备成本与价格风险、风险模型与处置闭环四类 Excel 工作簿中的 21 张数据表，搭建覆盖供需预测、战略库存、价格情景、采购订单与风险处置的 HTML 看板，解决内存战略备货数据分散、风险识别滞后和处置过程难追踪的问题。</w:t>
      </w:r>
    </w:p>
    <w:p>
      <w:pPr>
        <w:pStyle w:val="Heading1"/>
        <w:snapToGrid w:val="0"/>
      </w:pPr>
      <w:r>
        <w:t>二、BI CLI 使用过程</w:t>
      </w:r>
    </w:p>
    <w:p>
      <w:pPr>
        <w:snapToGrid w:val="0"/>
      </w:pPr>
    </w:p>
    <w:p>
      <w:pPr>
        <w:pStyle w:val="Heading1"/>
        <w:snapToGrid w:val="0"/>
      </w:pPr>
      <w:r>
        <w:t>三、应用场景与业务痛点</w:t>
      </w:r>
    </w:p>
    <w:p>
      <w:pPr>
        <w:pStyle w:val="Heading2"/>
        <w:snapToGrid w:val="0"/>
      </w:pPr>
      <w:r>
        <w:t>1. 目标用户</w:t>
      </w:r>
    </w:p>
    <w:p>
      <w:pPr>
        <w:ind w:left="170" w:firstLine="0"/>
        <w:snapToGrid w:val="0"/>
      </w:pPr>
      <w:r>
        <w:rPr>
          <w:b/>
        </w:rPr>
        <w:t>核心用户：</w:t>
      </w:r>
      <w:r>
        <w:t>公司供应链管理部的物料计划组、库存管理组，负责内存物料需求匹配、缺料预警、库存控制及备货计划调整。</w:t>
      </w:r>
    </w:p>
    <w:p>
      <w:pPr>
        <w:ind w:left="170" w:firstLine="0"/>
        <w:snapToGrid w:val="0"/>
      </w:pPr>
      <w:r>
        <w:rPr>
          <w:b/>
        </w:rPr>
        <w:t>协同用户：</w:t>
      </w:r>
      <w:r>
        <w:t>采购部的内存采购组、供应商管理组，财务部的成本管理组、营运资金分析组，以及产品项目管理部门的项目计划组，分别参与 PO 调整、交付跟进、资金与价格风险评估、项目需求变更确认。</w:t>
      </w:r>
    </w:p>
    <w:p>
      <w:pPr>
        <w:pStyle w:val="Heading2"/>
        <w:snapToGrid w:val="0"/>
      </w:pPr>
      <w:r>
        <w:t>2. 应用场景</w:t>
      </w:r>
    </w:p>
    <w:p>
      <w:pPr>
        <w:ind w:left="170" w:firstLine="0"/>
        <w:snapToGrid w:val="0"/>
      </w:pPr>
      <w:r>
        <w:rPr>
          <w:b/>
        </w:rPr>
        <w:t>日常计划与周会：</w:t>
      </w:r>
      <w:r>
        <w:t>按工厂、业务单元、物料及供应商筛选，查看未来 4/8/13/26 周供需与库存变化，识别首次缺料周、安全库存缺口和重点物料。</w:t>
      </w:r>
    </w:p>
    <w:p>
      <w:pPr>
        <w:ind w:left="170" w:firstLine="0"/>
        <w:snapToGrid w:val="0"/>
      </w:pPr>
      <w:r>
        <w:rPr>
          <w:b/>
        </w:rPr>
        <w:t>需求变更与库存复盘：</w:t>
      </w:r>
      <w:r>
        <w:t>在 MDS 版本更新、项目取消或暂停时，对比相同需求窗口，结合库存批次、库龄和战备台账核查超额占用及其来源。</w:t>
      </w:r>
    </w:p>
    <w:p>
      <w:pPr>
        <w:ind w:left="170" w:firstLine="0"/>
        <w:snapToGrid w:val="0"/>
      </w:pPr>
      <w:r>
        <w:rPr>
          <w:b/>
        </w:rPr>
        <w:t>价格与采购承诺评估：</w:t>
      </w:r>
      <w:r>
        <w:t>模拟市场价格下跌或上涨，查看批次成本与价格负敞口，并结合未交 PO 的最后变更日、取消及延期配额评估调整空间。</w:t>
      </w:r>
    </w:p>
    <w:p>
      <w:pPr>
        <w:ind w:left="170" w:firstLine="0"/>
        <w:snapToGrid w:val="0"/>
      </w:pPr>
      <w:r>
        <w:rPr>
          <w:b/>
        </w:rPr>
        <w:t>风险跟踪与复核：</w:t>
      </w:r>
      <w:r>
        <w:t>围绕具体物料建立或更新风险事件，记录责任人、截止日、措施与复核证据，支持周会跟进和后续复盘。</w:t>
      </w:r>
    </w:p>
    <w:p>
      <w:pPr>
        <w:pStyle w:val="Heading2"/>
        <w:snapToGrid w:val="0"/>
      </w:pPr>
      <w:r>
        <w:t>3. 解决的业务痛点</w:t>
      </w:r>
    </w:p>
    <w:p>
      <w:pPr>
        <w:ind w:left="170" w:firstLine="0"/>
        <w:snapToGrid w:val="0"/>
      </w:pPr>
      <w:r>
        <w:rPr>
          <w:b/>
        </w:rPr>
        <w:t>数据分散、准备耗时：</w:t>
      </w:r>
      <w:r>
        <w:t>将多份 Excel 中的需求、库存、采购、成本与风险数据集中展示，减少重复匹配料号、复制数据和拼接报表。</w:t>
      </w:r>
    </w:p>
    <w:p>
      <w:pPr>
        <w:ind w:left="170" w:firstLine="0"/>
        <w:snapToGrid w:val="0"/>
      </w:pPr>
      <w:r>
        <w:rPr>
          <w:b/>
        </w:rPr>
        <w:t>只看库存总量、难以判断风险：</w:t>
      </w:r>
      <w:r>
        <w:t>结合未来需求与承诺到货，区分实物缺料、安全库存缺口和现货超额，支持由汇总指标下钻至物料与批次。</w:t>
      </w:r>
    </w:p>
    <w:p>
      <w:pPr>
        <w:ind w:left="170" w:firstLine="0"/>
        <w:snapToGrid w:val="0"/>
      </w:pPr>
      <w:r>
        <w:rPr>
          <w:b/>
        </w:rPr>
        <w:t>价格与采购风险缺乏联动：</w:t>
      </w:r>
      <w:r>
        <w:t>同时呈现价格情景、库存成本和 PO 干预窗口，减少仅凭单一价格走势或库存余额做判断的情况。</w:t>
      </w:r>
    </w:p>
    <w:p>
      <w:pPr>
        <w:ind w:left="170" w:firstLine="0"/>
        <w:snapToGrid w:val="0"/>
      </w:pPr>
      <w:r>
        <w:rPr>
          <w:b/>
        </w:rPr>
        <w:t>问题发现后缺少持续跟踪：</w:t>
      </w:r>
      <w:r>
        <w:t>集中记录事件状态、责任人与证据，将风险分析结果与后续处置记录关联起来。</w:t>
      </w:r>
    </w:p>
    <w:p>
      <w:pPr>
        <w:pStyle w:val="Heading1"/>
        <w:snapToGrid w:val="0"/>
      </w:pPr>
      <w:r>
        <w:t>四、关键结论分析</w:t>
      </w:r>
    </w:p>
    <w:p>
      <w:pPr>
        <w:snapToGrid w:val="0"/>
      </w:pPr>
    </w:p>
    <w:p>
      <w:pPr>
        <w:pStyle w:val="Heading1"/>
        <w:pageBreakBefore/>
        <w:snapToGrid w:val="0"/>
      </w:pPr>
      <w:r>
        <w:t>五、预期价值与落地计划</w:t>
      </w:r>
    </w:p>
    <w:p>
      <w:pPr>
        <w:ind w:firstLine="420"/>
        <w:snapToGrid w:val="0"/>
      </w:pPr>
      <w:r>
        <w:t>计划通过 BI CLI 搭建并持续更新 HTML 看板，预计将经营数据整理和报表制作时间减少 50%，提升业务人员查询和复盘效率。50% 为试用目标，需通过同口径的试用前后记录验证，不代表已实现成效。后续计划选择公司供应链管理部物料计划组进行 2–4 周试用，重点观察：</w:t>
      </w:r>
    </w:p>
    <w:p>
      <w:pPr>
        <w:ind w:left="170" w:firstLine="0"/>
        <w:snapToGrid w:val="0"/>
      </w:pPr>
      <w:r>
        <w:rPr>
          <w:b/>
        </w:rPr>
        <w:t>数据整理与报表耗时：</w:t>
      </w:r>
      <w:r>
        <w:t>对相同数据范围、相同报表任务，记录试用前后平均准备时长；按“（基线耗时－试用期耗时）/基线耗时”计算时间减少比例，核验 50% 目标。</w:t>
      </w:r>
    </w:p>
    <w:p>
      <w:pPr>
        <w:ind w:left="170" w:firstLine="0"/>
        <w:snapToGrid w:val="0"/>
      </w:pPr>
      <w:r>
        <w:rPr>
          <w:b/>
        </w:rPr>
        <w:t>查询与复盘效率：</w:t>
      </w:r>
      <w:r>
        <w:t>记录物料查询、缺料定位、PO 查阅和周会复盘准备的耗时，以及业务人员无需数据人员协助即可完成查询的比例。</w:t>
      </w:r>
    </w:p>
    <w:p>
      <w:pPr>
        <w:ind w:left="170" w:firstLine="0"/>
        <w:snapToGrid w:val="0"/>
      </w:pPr>
      <w:r>
        <w:rPr>
          <w:b/>
        </w:rPr>
        <w:t>数据准确性与可解释性：</w:t>
      </w:r>
      <w:r>
        <w:t>每周抽查重点物料的库存、到货、需求与价格计算，记录口径差异、来源定位是否清晰及问题修正情况。</w:t>
      </w:r>
    </w:p>
    <w:p>
      <w:pPr>
        <w:ind w:left="170" w:firstLine="0"/>
        <w:snapToGrid w:val="0"/>
      </w:pPr>
      <w:r>
        <w:rPr>
          <w:b/>
        </w:rPr>
        <w:t>风险处置执行情况：</w:t>
      </w:r>
      <w:r>
        <w:t>观察责任人指派、措施更新、证据补充、按期复核和逾期事件变化，判断是否改善异常跟踪与跨部门沟通。</w:t>
      </w:r>
    </w:p>
    <w:p>
      <w:pPr>
        <w:ind w:left="170" w:firstLine="0"/>
        <w:snapToGrid w:val="0"/>
      </w:pPr>
      <w:r>
        <w:rPr>
          <w:b/>
        </w:rPr>
        <w:t>使用情况与改进需求：</w:t>
      </w:r>
      <w:r>
        <w:t>记录周会实际使用次数、用户主动查询次数及反馈问题，区分必须修复的问题与后续增强需求。</w:t>
      </w:r>
    </w:p>
    <w:p>
      <w:pPr>
        <w:pStyle w:val="Heading2"/>
        <w:snapToGrid w:val="0"/>
      </w:pPr>
      <w:r>
        <w:t>落地步骤</w:t>
      </w:r>
    </w:p>
    <w:p>
      <w:pPr>
        <w:ind w:left="170" w:firstLine="0"/>
        <w:snapToGrid w:val="0"/>
      </w:pPr>
      <w:r>
        <w:rPr>
          <w:b/>
        </w:rPr>
        <w:t>第 1 周：数据与口径确认：</w:t>
      </w:r>
      <w:r>
        <w:t>由物料计划组牵头，采购和财务配合，使用经授权的实际数据副本替换模拟数据，确认 MDS 数量单位、可用库存与已分配量的关系、安全库存及 PO 窗口口径，并记录原有报表工作耗时。</w:t>
      </w:r>
    </w:p>
    <w:p>
      <w:pPr>
        <w:ind w:left="170" w:firstLine="0"/>
        <w:snapToGrid w:val="0"/>
      </w:pPr>
      <w:r>
        <w:rPr>
          <w:b/>
        </w:rPr>
        <w:t>第 2 周起：业务试用与记录：</w:t>
      </w:r>
      <w:r>
        <w:t>将看板用于日常查询和固定周会，按约定节奏更新数据与 HTML 文件，持续记录耗时、异常案例和用户反馈；事件记录及时导出备份。</w:t>
      </w:r>
    </w:p>
    <w:p>
      <w:pPr>
        <w:ind w:left="170" w:firstLine="0"/>
        <w:snapToGrid w:val="0"/>
      </w:pPr>
      <w:r>
        <w:rPr>
          <w:b/>
        </w:rPr>
        <w:t>试用期末：评估与推广决策：</w:t>
      </w:r>
      <w:r>
        <w:t>在第 2 周或第 4 周完成复盘，比较目标完成情况，确认需调整的口径和功能，再决定是否推广至采购组与库存管理组。涉及多人协同时，另行规划共享数据、权限和审批能力。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304" w:bottom="1020" w:left="1304" w:header="510" w:footer="51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 xml:space="preserve">第 </w:t>
    </w:r>
    <w:r>
      <w:rPr>
        <w:color w:val="808080"/>
        <w:sz w:val="16"/>
      </w:rPr>
    </w:r>
    <w:fldSimple w:instr="PAGE"/>
    <w:r>
      <w:rPr>
        <w:color w:val="808080"/>
        <w:sz w:val="16"/>
      </w:rPr>
      <w:t xml:space="preserve"> 页 / 共 </w:t>
    </w:r>
    <w:r>
      <w:rPr>
        <w:color w:val="808080"/>
        <w:sz w:val="16"/>
      </w:rPr>
    </w:r>
    <w:fldSimple w:instr="NUMPAGES"/>
    <w:r>
      <w:rPr>
        <w:color w:val="808080"/>
        <w:sz w:val="16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Noto Sans CJK SC" w:hAnsi="Noto Sans CJK SC" w:eastAsia="Noto Sans CJK SC"/>
        <w:color w:val="808080"/>
        <w:sz w:val="16"/>
      </w:rPr>
      <w:t>内存战略备货风险管理看板 · 作品说明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320" w:lineRule="exact" w:after="100"/>
    </w:pPr>
    <w:rPr>
      <w:rFonts w:ascii="Noto Serif CJK SC" w:hAnsi="Noto Serif CJK SC" w:eastAsia="Noto Serif CJK SC"/>
      <w:b w:val="0"/>
      <w:color w:val="24242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4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8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2424"/>
      <w:sz w:val="21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8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242424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内存战略备货风险管理看板作品说明</dc:title>
  <dc:subject>作品概述、应用场景与业务痛点、预期价值与落地计划</dc:subject>
  <dc:creator/>
  <cp:keywords>战略备货, 内存, 供应链, HTML看板, 作品说明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