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Primeira Leitura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Evangelho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${gospelAcclamationRef}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888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Evangelho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646" w:space="288"/>
            <w:col w:w="653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887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color w:val="000000"/>
          <w:kern w:val="2"/>
          <w:sz w:val="36"/>
          <w:szCs w:val="36"/>
          <w:lang w:val="fr-FR"/>
        </w:rPr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${gospelAuthorLatinSantoral}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${gospelAuthorSantoral}.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rFonts w:ascii="Times New Roman" w:hAnsi="Times New Roman" w:cs="Times New Roman"/>
          <w:b/>
          <w:b/>
          <w:bCs/>
          <w:i/>
          <w:i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LibreOffice/6.2.6.2$Linux_X86_64 LibreOffice_project/20$Build-2</Application>
  <Pages>6</Pages>
  <Words>292</Words>
  <Characters>2811</Characters>
  <CharactersWithSpaces>3104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2019-08-29T14:54:48Z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