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${liturgyDateTitle}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${l1Book} </w:t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${l1Text}.</w:t>
        <w:tab/>
        <w:tab/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pt-BR"/>
        </w:rPr>
      </w:pPr>
      <w:r>
        <w:rPr>
          <w:rFonts w:cs="Times New Roman" w:ascii="Times New Roman" w:hAnsi="Times New Roman"/>
          <w:kern w:val="2"/>
          <w:sz w:val="36"/>
          <w:szCs w:val="36"/>
          <w:lang w:val="pt-B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E181E"/>
          <w:kern w:val="2"/>
          <w:sz w:val="36"/>
          <w:szCs w:val="36"/>
          <w:lang w:val="fr-FR"/>
        </w:rPr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${psalmReference}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bCs/>
          <w:color w:val="CE181E"/>
          <w:kern w:val="2"/>
          <w:sz w:val="36"/>
          <w:szCs w:val="36"/>
          <w:lang w:val="fr-FR"/>
        </w:rPr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Segunda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${l2Reference}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${l2Introduction}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${l2Book} </w:t>
        <w:tab/>
        <w:tab/>
        <w:tab/>
        <w:tab/>
        <w:tab/>
        <w:tab/>
        <w:tab/>
        <w:t xml:space="preserve">    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${l2Text}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iCs/>
          <w:color w:val="C00000"/>
          <w:kern w:val="2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color w:val="CE181E"/>
          <w:kern w:val="2"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ab/>
        <w:t xml:space="preserve">  Xx X,X-X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  <w:t>XXXXXXX.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ab/>
        <w:tab/>
        <w:tab/>
        <w:tab/>
        <w:tab/>
        <w:tab/>
        <w:tab/>
        <w:tab/>
        <w:t>${gospelReference}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${gospelAuthorLatin}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0" w:name="__DdeLink__175_20849713101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${gospelAuthor}.</w:t>
      </w:r>
      <w:bookmarkEnd w:id="0"/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/>
          <w:b/>
          <w:bCs/>
          <w:i/>
          <w:i/>
          <w:iCs/>
          <w:sz w:val="36"/>
          <w:szCs w:val="30"/>
          <w:lang w:val="pt-BR"/>
        </w:rPr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color w:val="2F509E"/>
          <w:kern w:val="2"/>
          <w:sz w:val="36"/>
          <w:szCs w:val="36"/>
          <w:lang w:val="fr-FR"/>
        </w:rPr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SANTORAL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  <w:t>Leituras opcionais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i/>
          <w:i/>
          <w:color w:val="C00000"/>
          <w:kern w:val="2"/>
          <w:sz w:val="36"/>
          <w:szCs w:val="36"/>
          <w:highlight w:val="yellow"/>
          <w:lang w:val="fr-FR"/>
        </w:rPr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${l1ReferenceSantoral}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${l1BookSantoral} </w:t>
        <w:tab/>
        <w:tab/>
        <w:tab/>
        <w:tab/>
        <w:tab/>
        <w:tab/>
        <w:tab/>
        <w:t xml:space="preserve">    </w:t>
      </w:r>
    </w:p>
    <w:p>
      <w:pPr>
        <w:pStyle w:val="Normal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${l1TextSantoral}.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sectPr>
      <w:type w:val="continuous"/>
      <w:pgSz w:w="11906" w:h="16838"/>
      <w:pgMar w:left="720" w:right="720" w:header="0" w:top="720" w:footer="0" w:bottom="720" w:gutter="0"/>
      <w:cols w:num="2" w:space="288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turg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Heading3">
    <w:name w:val="Heading 3"/>
    <w:basedOn w:val="Normal"/>
    <w:qFormat/>
    <w:pPr>
      <w:widowControl/>
      <w:spacing w:beforeAutospacing="1" w:afterAutospacing="1"/>
      <w:jc w:val="left"/>
      <w:textAlignment w:val="auto"/>
      <w:outlineLvl w:val="2"/>
    </w:pPr>
    <w:rPr>
      <w:rFonts w:cs="Times New Roman"/>
      <w:b/>
      <w:bCs/>
      <w:sz w:val="27"/>
      <w:szCs w:val="27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TextodecomentrioChar">
    <w:name w:val="Texto de comentário Char"/>
    <w:basedOn w:val="DefaultParagraphFont"/>
    <w:qFormat/>
    <w:rPr>
      <w:rFonts w:cs="Times New Roman"/>
      <w:sz w:val="20"/>
      <w:szCs w:val="20"/>
    </w:rPr>
  </w:style>
  <w:style w:type="character" w:styleId="AssuntodocomentrioChar">
    <w:name w:val="Assunto do comentário Char"/>
    <w:basedOn w:val="TextodecomentrioChar"/>
    <w:qFormat/>
    <w:rPr>
      <w:rFonts w:cs="Times New Roman"/>
      <w:b/>
      <w:bCs/>
      <w:sz w:val="20"/>
      <w:szCs w:val="20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tulo3Char">
    <w:name w:val="Título 3 Char"/>
    <w:basedOn w:val="DefaultParagraphFont"/>
    <w:qFormat/>
    <w:rPr>
      <w:rFonts w:ascii="Times New Roman" w:hAnsi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sz w:val="20"/>
      <w:szCs w:val="20"/>
      <w:lang w:val="en-US" w:eastAsia="en-US" w:bidi="ar-SA"/>
    </w:rPr>
  </w:style>
  <w:style w:type="paragraph" w:styleId="Annotationsubject">
    <w:name w:val="annotation subject"/>
    <w:basedOn w:val="Annotationtext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b/>
      <w:bCs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jc w:val="left"/>
      <w:textAlignment w:val="auto"/>
    </w:pPr>
    <w:rPr>
      <w:rFonts w:ascii="Tahoma" w:hAnsi="Tahoma" w:eastAsia="Times New Roman" w:cs="Tahoma"/>
      <w:sz w:val="16"/>
      <w:szCs w:val="16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LibreOffice/6.2.6.2$Linux_X86_64 LibreOffice_project/20$Build-2</Application>
  <Pages>4</Pages>
  <Words>198</Words>
  <Characters>1555</Characters>
  <CharactersWithSpaces>1803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2019-07-04T12:44:00Z</dcterms:created>
  <dc:creator/>
  <dc:description/>
  <dc:language>en-US</dc:language>
  <cp:lastModifiedBy/>
  <cp:lastPrinted>2019-07-04T12:29:00Z</cp:lastPrinted>
  <dcterms:modified xsi:type="dcterms:W3CDTF">2019-08-23T17:06:36Z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Pe. Paschoal</vt:lpwstr>
  </property>
</Properties>
</file>