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094B5B">
      <w:pPr>
        <w:tabs>
          <w:tab w:val="left" w:pos="6870"/>
        </w:tabs>
        <w:jc w:val="center"/>
        <w:rPr>
          <w:rFonts w:ascii="黑体" w:eastAsia="黑体"/>
          <w:sz w:val="30"/>
        </w:rPr>
      </w:pPr>
      <w:r>
        <w:rPr>
          <w:rFonts w:hint="eastAsia" w:ascii="黑体" w:eastAsia="黑体"/>
          <w:sz w:val="30"/>
        </w:rPr>
        <w:t>南京邮电大学毕业设计(论文)开题报告</w:t>
      </w:r>
    </w:p>
    <w:tbl>
      <w:tblPr>
        <w:tblStyle w:val="8"/>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370"/>
        <w:gridCol w:w="2385"/>
        <w:gridCol w:w="1250"/>
        <w:gridCol w:w="1247"/>
        <w:gridCol w:w="716"/>
        <w:gridCol w:w="1806"/>
      </w:tblGrid>
      <w:tr w14:paraId="3DCF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1178" w:type="dxa"/>
            <w:gridSpan w:val="2"/>
            <w:vAlign w:val="center"/>
          </w:tcPr>
          <w:p w14:paraId="185C393C">
            <w:pPr>
              <w:tabs>
                <w:tab w:val="left" w:pos="6870"/>
              </w:tabs>
              <w:jc w:val="center"/>
              <w:rPr>
                <w:szCs w:val="21"/>
              </w:rPr>
            </w:pPr>
            <w:r>
              <w:rPr>
                <w:rFonts w:hint="eastAsia"/>
                <w:szCs w:val="21"/>
              </w:rPr>
              <w:t>题　　目</w:t>
            </w:r>
          </w:p>
        </w:tc>
        <w:tc>
          <w:tcPr>
            <w:tcW w:w="7404" w:type="dxa"/>
            <w:gridSpan w:val="5"/>
            <w:vAlign w:val="center"/>
          </w:tcPr>
          <w:p w14:paraId="016D835C">
            <w:pPr>
              <w:tabs>
                <w:tab w:val="left" w:pos="6870"/>
              </w:tabs>
              <w:jc w:val="center"/>
              <w:rPr>
                <w:szCs w:val="21"/>
              </w:rPr>
            </w:pPr>
            <w:r>
              <w:rPr>
                <w:rFonts w:hint="eastAsia"/>
                <w:szCs w:val="21"/>
              </w:rPr>
              <w:t>四川双打竞技麻将比赛设计与实现</w:t>
            </w:r>
          </w:p>
        </w:tc>
      </w:tr>
      <w:tr w14:paraId="392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8" w:type="dxa"/>
            <w:gridSpan w:val="2"/>
            <w:vAlign w:val="center"/>
          </w:tcPr>
          <w:p w14:paraId="5D8D5A61">
            <w:pPr>
              <w:tabs>
                <w:tab w:val="left" w:pos="6870"/>
              </w:tabs>
              <w:jc w:val="center"/>
              <w:rPr>
                <w:szCs w:val="21"/>
              </w:rPr>
            </w:pPr>
            <w:r>
              <w:rPr>
                <w:rFonts w:hint="eastAsia"/>
                <w:szCs w:val="21"/>
              </w:rPr>
              <w:t>学生姓名</w:t>
            </w:r>
          </w:p>
        </w:tc>
        <w:tc>
          <w:tcPr>
            <w:tcW w:w="2385" w:type="dxa"/>
            <w:vAlign w:val="center"/>
          </w:tcPr>
          <w:p w14:paraId="6E58CF0B">
            <w:pPr>
              <w:tabs>
                <w:tab w:val="left" w:pos="6870"/>
              </w:tabs>
              <w:jc w:val="center"/>
              <w:rPr>
                <w:szCs w:val="21"/>
              </w:rPr>
            </w:pPr>
            <w:r>
              <w:rPr>
                <w:rFonts w:hint="eastAsia"/>
                <w:szCs w:val="21"/>
              </w:rPr>
              <w:t>朱家骏</w:t>
            </w:r>
          </w:p>
        </w:tc>
        <w:tc>
          <w:tcPr>
            <w:tcW w:w="1250" w:type="dxa"/>
            <w:vAlign w:val="center"/>
          </w:tcPr>
          <w:p w14:paraId="40C795F0">
            <w:pPr>
              <w:tabs>
                <w:tab w:val="left" w:pos="6870"/>
              </w:tabs>
              <w:jc w:val="center"/>
              <w:rPr>
                <w:szCs w:val="21"/>
              </w:rPr>
            </w:pPr>
            <w:r>
              <w:rPr>
                <w:rFonts w:hint="eastAsia"/>
                <w:szCs w:val="21"/>
              </w:rPr>
              <w:t>班级学号</w:t>
            </w:r>
          </w:p>
        </w:tc>
        <w:tc>
          <w:tcPr>
            <w:tcW w:w="1247" w:type="dxa"/>
            <w:vAlign w:val="center"/>
          </w:tcPr>
          <w:p w14:paraId="29094BD0">
            <w:pPr>
              <w:tabs>
                <w:tab w:val="left" w:pos="6870"/>
              </w:tabs>
              <w:jc w:val="center"/>
              <w:rPr>
                <w:szCs w:val="21"/>
              </w:rPr>
            </w:pPr>
            <w:r>
              <w:rPr>
                <w:rFonts w:hint="eastAsia"/>
                <w:szCs w:val="21"/>
              </w:rPr>
              <w:t>B22040310</w:t>
            </w:r>
          </w:p>
          <w:p w14:paraId="65A30B9E">
            <w:pPr>
              <w:tabs>
                <w:tab w:val="left" w:pos="6870"/>
              </w:tabs>
              <w:jc w:val="center"/>
              <w:rPr>
                <w:szCs w:val="21"/>
              </w:rPr>
            </w:pPr>
            <w:r>
              <w:rPr>
                <w:rFonts w:hint="eastAsia"/>
                <w:szCs w:val="21"/>
              </w:rPr>
              <w:t>(B220403)</w:t>
            </w:r>
          </w:p>
        </w:tc>
        <w:tc>
          <w:tcPr>
            <w:tcW w:w="716" w:type="dxa"/>
            <w:vAlign w:val="center"/>
          </w:tcPr>
          <w:p w14:paraId="149E2B97">
            <w:pPr>
              <w:tabs>
                <w:tab w:val="left" w:pos="6870"/>
              </w:tabs>
              <w:jc w:val="center"/>
              <w:rPr>
                <w:szCs w:val="21"/>
              </w:rPr>
            </w:pPr>
            <w:r>
              <w:rPr>
                <w:rFonts w:hint="eastAsia"/>
                <w:szCs w:val="21"/>
              </w:rPr>
              <w:t>专业</w:t>
            </w:r>
          </w:p>
        </w:tc>
        <w:tc>
          <w:tcPr>
            <w:tcW w:w="1806" w:type="dxa"/>
            <w:vAlign w:val="center"/>
          </w:tcPr>
          <w:p w14:paraId="4336790C">
            <w:pPr>
              <w:tabs>
                <w:tab w:val="left" w:pos="6870"/>
              </w:tabs>
              <w:jc w:val="center"/>
              <w:rPr>
                <w:szCs w:val="21"/>
              </w:rPr>
            </w:pPr>
            <w:r>
              <w:rPr>
                <w:rFonts w:hint="eastAsia"/>
                <w:sz w:val="18"/>
                <w:szCs w:val="18"/>
              </w:rPr>
              <w:t>计算机科学与技术</w:t>
            </w:r>
          </w:p>
        </w:tc>
      </w:tr>
      <w:tr w14:paraId="54F5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2" w:hRule="atLeast"/>
          <w:jc w:val="center"/>
        </w:trPr>
        <w:tc>
          <w:tcPr>
            <w:tcW w:w="8582" w:type="dxa"/>
            <w:gridSpan w:val="7"/>
            <w:tcBorders>
              <w:bottom w:val="single" w:color="auto" w:sz="4" w:space="0"/>
            </w:tcBorders>
            <w:vAlign w:val="center"/>
          </w:tcPr>
          <w:p w14:paraId="5273444A">
            <w:pPr>
              <w:pStyle w:val="3"/>
              <w:numPr>
                <w:ilvl w:val="0"/>
                <w:numId w:val="2"/>
              </w:numPr>
              <w:spacing w:before="0" w:after="0" w:line="300" w:lineRule="auto"/>
              <w:rPr>
                <w:sz w:val="24"/>
              </w:rPr>
            </w:pPr>
            <w:r>
              <w:rPr>
                <w:rFonts w:hint="eastAsia" w:cs="黑体"/>
                <w:sz w:val="24"/>
                <w:szCs w:val="22"/>
              </w:rPr>
              <w:t>对指导教师下达的课题任务的学习与理解</w:t>
            </w:r>
          </w:p>
          <w:p w14:paraId="3B108E99">
            <w:pPr>
              <w:pStyle w:val="3"/>
              <w:numPr>
                <w:ilvl w:val="0"/>
                <w:numId w:val="3"/>
              </w:numPr>
              <w:spacing w:before="0" w:after="0" w:line="300" w:lineRule="auto"/>
              <w:rPr>
                <w:rFonts w:cs="黑体"/>
                <w:b w:val="0"/>
                <w:bCs w:val="0"/>
                <w:sz w:val="24"/>
                <w:szCs w:val="22"/>
              </w:rPr>
            </w:pPr>
            <w:r>
              <w:rPr>
                <w:rFonts w:hint="eastAsia" w:cs="黑体"/>
                <w:b w:val="0"/>
                <w:bCs w:val="0"/>
                <w:sz w:val="24"/>
                <w:szCs w:val="22"/>
              </w:rPr>
              <w:t>课题背景</w:t>
            </w:r>
          </w:p>
          <w:p w14:paraId="071D0112">
            <w:pPr>
              <w:spacing w:line="300" w:lineRule="auto"/>
              <w:ind w:firstLine="480" w:firstLineChars="200"/>
              <w:rPr>
                <w:rFonts w:cs="Google Sans Text"/>
                <w:color w:val="1F1F1F"/>
                <w:sz w:val="24"/>
                <w:szCs w:val="21"/>
              </w:rPr>
            </w:pPr>
            <w:r>
              <w:rPr>
                <w:rFonts w:hint="eastAsia" w:cs="宋体"/>
                <w:sz w:val="24"/>
                <w:szCs w:val="21"/>
              </w:rPr>
              <w:t>麻将作为中国的“国粹”，近年来正逐渐从单纯的娱乐活动向规范化的智力竞技体育转型。四川双打竞技麻将作为一种极具地域特色且强调团队协作的玩法，在民间拥有广泛的群众基础。</w:t>
            </w:r>
            <w:r>
              <w:rPr>
                <w:rFonts w:cs="Google Sans Text"/>
                <w:color w:val="1F1F1F"/>
                <w:sz w:val="24"/>
                <w:szCs w:val="21"/>
              </w:rPr>
              <w:t>不同于围棋或象棋等</w:t>
            </w:r>
            <w:r>
              <w:rPr>
                <w:rFonts w:hint="eastAsia" w:cs="Google Sans Text"/>
                <w:color w:val="1F1F1F"/>
                <w:sz w:val="24"/>
                <w:szCs w:val="21"/>
              </w:rPr>
              <w:t>“</w:t>
            </w:r>
            <w:r>
              <w:rPr>
                <w:rFonts w:cs="Google Sans Text"/>
                <w:color w:val="1F1F1F"/>
                <w:sz w:val="24"/>
                <w:szCs w:val="21"/>
              </w:rPr>
              <w:t>完备信息博弈</w:t>
            </w:r>
            <w:r>
              <w:rPr>
                <w:rFonts w:hint="eastAsia" w:cs="Google Sans Text"/>
                <w:color w:val="1F1F1F"/>
                <w:sz w:val="24"/>
                <w:szCs w:val="21"/>
              </w:rPr>
              <w:t>”</w:t>
            </w:r>
            <w:r>
              <w:rPr>
                <w:rFonts w:cs="Google Sans Text"/>
                <w:color w:val="1F1F1F"/>
                <w:sz w:val="24"/>
                <w:szCs w:val="21"/>
              </w:rPr>
              <w:t>项目，麻将属于典型的</w:t>
            </w:r>
            <w:r>
              <w:rPr>
                <w:rFonts w:hint="eastAsia" w:cs="Google Sans Text"/>
                <w:color w:val="1F1F1F"/>
                <w:sz w:val="24"/>
                <w:szCs w:val="21"/>
              </w:rPr>
              <w:t>“</w:t>
            </w:r>
            <w:r>
              <w:rPr>
                <w:rFonts w:cs="Google Sans Text"/>
                <w:color w:val="1F1F1F"/>
                <w:sz w:val="24"/>
                <w:szCs w:val="21"/>
              </w:rPr>
              <w:t>非完备信息博弈</w:t>
            </w:r>
            <w:r>
              <w:rPr>
                <w:rFonts w:hint="eastAsia" w:cs="Google Sans Text"/>
                <w:color w:val="1F1F1F"/>
                <w:sz w:val="24"/>
                <w:szCs w:val="21"/>
              </w:rPr>
              <w:t>”</w:t>
            </w:r>
            <w:r>
              <w:rPr>
                <w:rFonts w:cs="Google Sans Text"/>
                <w:color w:val="1F1F1F"/>
                <w:sz w:val="24"/>
                <w:szCs w:val="21"/>
              </w:rPr>
              <w:t>：玩家无法获知对手</w:t>
            </w:r>
            <w:r>
              <w:rPr>
                <w:rFonts w:hint="eastAsia" w:cs="Google Sans Text"/>
                <w:color w:val="1F1F1F"/>
                <w:sz w:val="24"/>
                <w:szCs w:val="21"/>
              </w:rPr>
              <w:t>的</w:t>
            </w:r>
            <w:r>
              <w:rPr>
                <w:rFonts w:cs="Google Sans Text"/>
                <w:color w:val="1F1F1F"/>
                <w:sz w:val="24"/>
                <w:szCs w:val="21"/>
              </w:rPr>
              <w:t>手牌与牌墙</w:t>
            </w:r>
            <w:r>
              <w:rPr>
                <w:rFonts w:hint="eastAsia" w:cs="Google Sans Text"/>
                <w:color w:val="1F1F1F"/>
                <w:sz w:val="24"/>
                <w:szCs w:val="21"/>
              </w:rPr>
              <w:t>中的</w:t>
            </w:r>
            <w:r>
              <w:rPr>
                <w:rFonts w:cs="Google Sans Text"/>
                <w:color w:val="1F1F1F"/>
                <w:sz w:val="24"/>
                <w:szCs w:val="21"/>
              </w:rPr>
              <w:t>余牌。这</w:t>
            </w:r>
            <w:r>
              <w:rPr>
                <w:rFonts w:hint="eastAsia" w:cs="Google Sans Text"/>
                <w:color w:val="1F1F1F"/>
                <w:sz w:val="24"/>
                <w:szCs w:val="21"/>
              </w:rPr>
              <w:t>样的</w:t>
            </w:r>
            <w:r>
              <w:rPr>
                <w:rFonts w:cs="Google Sans Text"/>
                <w:color w:val="1F1F1F"/>
                <w:sz w:val="24"/>
                <w:szCs w:val="21"/>
              </w:rPr>
              <w:t>复杂性使得麻将的数字化竞技系统不仅需要处理高并发的实时对战，更需要强大的</w:t>
            </w:r>
            <w:r>
              <w:rPr>
                <w:rFonts w:hint="eastAsia" w:cs="Google Sans Text"/>
                <w:color w:val="1F1F1F"/>
                <w:sz w:val="24"/>
                <w:szCs w:val="21"/>
              </w:rPr>
              <w:t>算法</w:t>
            </w:r>
            <w:r>
              <w:rPr>
                <w:rFonts w:cs="Google Sans Text"/>
                <w:color w:val="1F1F1F"/>
                <w:sz w:val="24"/>
                <w:szCs w:val="21"/>
              </w:rPr>
              <w:t>来保障</w:t>
            </w:r>
            <w:r>
              <w:rPr>
                <w:rFonts w:hint="eastAsia" w:cs="Google Sans Text"/>
                <w:color w:val="1F1F1F"/>
                <w:sz w:val="24"/>
                <w:szCs w:val="21"/>
              </w:rPr>
              <w:t>规则</w:t>
            </w:r>
            <w:r>
              <w:rPr>
                <w:rFonts w:cs="Google Sans Text"/>
                <w:color w:val="1F1F1F"/>
                <w:sz w:val="24"/>
                <w:szCs w:val="21"/>
              </w:rPr>
              <w:t>。</w:t>
            </w:r>
          </w:p>
          <w:p w14:paraId="6127764D">
            <w:pPr>
              <w:spacing w:line="300" w:lineRule="auto"/>
              <w:ind w:firstLine="480" w:firstLineChars="200"/>
              <w:rPr>
                <w:rFonts w:cs="Google Sans Text"/>
                <w:sz w:val="24"/>
                <w:szCs w:val="21"/>
              </w:rPr>
            </w:pPr>
            <w:r>
              <w:rPr>
                <w:rFonts w:hint="eastAsia" w:cs="宋体"/>
                <w:sz w:val="24"/>
                <w:szCs w:val="21"/>
              </w:rPr>
              <w:t>四川麻将作为一种极具地域特色且强调团队协作的玩法，在民间拥有广泛的群众基础，</w:t>
            </w:r>
            <w:r>
              <w:rPr>
                <w:rFonts w:cs="Google Sans Text"/>
                <w:sz w:val="24"/>
                <w:szCs w:val="21"/>
              </w:rPr>
              <w:t>以其</w:t>
            </w:r>
            <w:r>
              <w:rPr>
                <w:rFonts w:hint="eastAsia" w:cs="Google Sans Text"/>
                <w:sz w:val="24"/>
                <w:szCs w:val="21"/>
              </w:rPr>
              <w:t>“</w:t>
            </w:r>
            <w:r>
              <w:rPr>
                <w:rFonts w:cs="Google Sans Text"/>
                <w:sz w:val="24"/>
                <w:szCs w:val="21"/>
              </w:rPr>
              <w:t>缺一门</w:t>
            </w:r>
            <w:r>
              <w:rPr>
                <w:rFonts w:hint="eastAsia" w:cs="Google Sans Text"/>
                <w:sz w:val="24"/>
                <w:szCs w:val="21"/>
              </w:rPr>
              <w:t>”</w:t>
            </w:r>
            <w:r>
              <w:rPr>
                <w:rFonts w:cs="Google Sans Text"/>
                <w:sz w:val="24"/>
                <w:szCs w:val="21"/>
              </w:rPr>
              <w:t>、</w:t>
            </w:r>
            <w:r>
              <w:rPr>
                <w:rFonts w:hint="eastAsia" w:cs="Google Sans Text"/>
                <w:sz w:val="24"/>
                <w:szCs w:val="21"/>
              </w:rPr>
              <w:t>“</w:t>
            </w:r>
            <w:r>
              <w:rPr>
                <w:rFonts w:cs="Google Sans Text"/>
                <w:sz w:val="24"/>
                <w:szCs w:val="21"/>
              </w:rPr>
              <w:t>血战到底</w:t>
            </w:r>
            <w:r>
              <w:rPr>
                <w:rFonts w:hint="eastAsia" w:cs="Google Sans Text"/>
                <w:sz w:val="24"/>
                <w:szCs w:val="21"/>
              </w:rPr>
              <w:t>”</w:t>
            </w:r>
            <w:r>
              <w:rPr>
                <w:rFonts w:cs="Google Sans Text"/>
                <w:sz w:val="24"/>
                <w:szCs w:val="21"/>
              </w:rPr>
              <w:t>等规则独树一帜。而</w:t>
            </w:r>
            <w:r>
              <w:rPr>
                <w:rFonts w:hint="eastAsia" w:cs="Google Sans Text"/>
                <w:sz w:val="24"/>
                <w:szCs w:val="21"/>
              </w:rPr>
              <w:t>“</w:t>
            </w:r>
            <w:r>
              <w:rPr>
                <w:rFonts w:cs="Google Sans Text"/>
                <w:sz w:val="24"/>
                <w:szCs w:val="21"/>
              </w:rPr>
              <w:t>双打竞技</w:t>
            </w:r>
            <w:r>
              <w:rPr>
                <w:rFonts w:hint="eastAsia" w:cs="Google Sans Text"/>
                <w:sz w:val="24"/>
                <w:szCs w:val="21"/>
              </w:rPr>
              <w:t>”</w:t>
            </w:r>
            <w:r>
              <w:rPr>
                <w:rFonts w:cs="Google Sans Text"/>
                <w:sz w:val="24"/>
                <w:szCs w:val="21"/>
              </w:rPr>
              <w:t>模式更是引入了团队协作要素，要求队友间通过策略配合获取高分。</w:t>
            </w:r>
          </w:p>
          <w:p w14:paraId="67FA7C86">
            <w:pPr>
              <w:spacing w:line="300" w:lineRule="auto"/>
              <w:ind w:firstLine="480" w:firstLineChars="200"/>
              <w:rPr>
                <w:rFonts w:cs="Google Sans Text"/>
                <w:sz w:val="24"/>
                <w:szCs w:val="21"/>
              </w:rPr>
            </w:pPr>
            <w:r>
              <w:rPr>
                <w:rFonts w:hint="eastAsia" w:cs="Google Sans Text"/>
                <w:sz w:val="24"/>
                <w:szCs w:val="21"/>
              </w:rPr>
              <w:t>然而，</w:t>
            </w:r>
            <w:r>
              <w:rPr>
                <w:rFonts w:cs="Google Sans Text"/>
                <w:sz w:val="24"/>
                <w:szCs w:val="21"/>
              </w:rPr>
              <w:t>目前市面上的麻将平台</w:t>
            </w:r>
            <w:r>
              <w:rPr>
                <w:rFonts w:hint="eastAsia" w:cs="Google Sans Text"/>
                <w:sz w:val="24"/>
                <w:szCs w:val="21"/>
              </w:rPr>
              <w:t>大</w:t>
            </w:r>
            <w:r>
              <w:rPr>
                <w:rFonts w:cs="Google Sans Text"/>
                <w:sz w:val="24"/>
                <w:szCs w:val="21"/>
              </w:rPr>
              <w:t>多针对单人休闲玩法，缺乏</w:t>
            </w:r>
            <w:r>
              <w:rPr>
                <w:rFonts w:hint="eastAsia" w:cs="Google Sans Text"/>
                <w:sz w:val="24"/>
                <w:szCs w:val="21"/>
              </w:rPr>
              <w:t>支持“</w:t>
            </w:r>
            <w:r>
              <w:rPr>
                <w:rFonts w:cs="Google Sans Text"/>
                <w:sz w:val="24"/>
                <w:szCs w:val="21"/>
              </w:rPr>
              <w:t>双打</w:t>
            </w:r>
            <w:r>
              <w:rPr>
                <w:rFonts w:hint="eastAsia" w:cs="Google Sans Text"/>
                <w:sz w:val="24"/>
                <w:szCs w:val="21"/>
              </w:rPr>
              <w:t>竞技”</w:t>
            </w:r>
            <w:r>
              <w:rPr>
                <w:rFonts w:cs="Google Sans Text"/>
                <w:sz w:val="24"/>
                <w:szCs w:val="21"/>
              </w:rPr>
              <w:t>的专业平台</w:t>
            </w:r>
            <w:r>
              <w:rPr>
                <w:rFonts w:hint="eastAsia" w:cs="Google Sans Text"/>
                <w:sz w:val="24"/>
                <w:szCs w:val="21"/>
              </w:rPr>
              <w:t>，并且不支持用户自定义特定的小众竞技规则和赛事编排</w:t>
            </w:r>
            <w:r>
              <w:rPr>
                <w:rFonts w:cs="Google Sans Text"/>
                <w:sz w:val="24"/>
                <w:szCs w:val="21"/>
              </w:rPr>
              <w:t>。现有的线下比赛常面临人工裁判判罚</w:t>
            </w:r>
            <w:r>
              <w:rPr>
                <w:rFonts w:hint="eastAsia" w:cs="Google Sans Text"/>
                <w:sz w:val="24"/>
                <w:szCs w:val="21"/>
              </w:rPr>
              <w:t>困难</w:t>
            </w:r>
            <w:r>
              <w:rPr>
                <w:rFonts w:cs="Google Sans Text"/>
                <w:sz w:val="24"/>
                <w:szCs w:val="21"/>
              </w:rPr>
              <w:t>、赛程编排效率低、数据不透明等痛点。因此，开发一套专用的四川双打竞技麻将比赛系统，对于推动该项目的标准化与智能化具有重要的工程实践意义。</w:t>
            </w:r>
          </w:p>
          <w:p w14:paraId="502B1244">
            <w:pPr>
              <w:pStyle w:val="3"/>
              <w:numPr>
                <w:ilvl w:val="0"/>
                <w:numId w:val="3"/>
              </w:numPr>
              <w:spacing w:before="0" w:after="0" w:line="300" w:lineRule="auto"/>
              <w:rPr>
                <w:rFonts w:cs="黑体"/>
                <w:b w:val="0"/>
                <w:bCs w:val="0"/>
                <w:sz w:val="24"/>
                <w:szCs w:val="22"/>
              </w:rPr>
            </w:pPr>
            <w:r>
              <w:rPr>
                <w:rFonts w:hint="eastAsia" w:cs="黑体"/>
                <w:b w:val="0"/>
                <w:bCs w:val="0"/>
                <w:sz w:val="24"/>
                <w:szCs w:val="22"/>
              </w:rPr>
              <w:t>研究意义</w:t>
            </w:r>
          </w:p>
          <w:p w14:paraId="56E6E5C4">
            <w:pPr>
              <w:spacing w:line="300" w:lineRule="auto"/>
              <w:ind w:firstLine="480" w:firstLineChars="200"/>
              <w:rPr>
                <w:rFonts w:cs="宋体"/>
                <w:sz w:val="24"/>
                <w:szCs w:val="21"/>
              </w:rPr>
            </w:pPr>
            <w:r>
              <w:rPr>
                <w:rFonts w:hint="eastAsia" w:cs="宋体"/>
                <w:sz w:val="24"/>
                <w:szCs w:val="21"/>
              </w:rPr>
              <w:t>开发一套专用的四川双打竞技麻将比赛系统，具有重要的工程实践意义与应用价值。</w:t>
            </w:r>
          </w:p>
          <w:p w14:paraId="20E61682">
            <w:pPr>
              <w:tabs>
                <w:tab w:val="left" w:pos="567"/>
              </w:tabs>
              <w:spacing w:line="300" w:lineRule="auto"/>
              <w:ind w:firstLine="480" w:firstLineChars="200"/>
              <w:rPr>
                <w:rFonts w:cs="宋体"/>
                <w:sz w:val="24"/>
                <w:szCs w:val="21"/>
              </w:rPr>
            </w:pPr>
            <w:r>
              <w:rPr>
                <w:rFonts w:hint="eastAsia" w:cs="宋体"/>
                <w:sz w:val="24"/>
                <w:szCs w:val="21"/>
              </w:rPr>
              <w:t>首先，通过数字化手段固化复杂的双打规则，能够推动麻将竞技规范化，消除人工判罚的争议，确保比赛公平性。其次，本项目能够填补市场上缺乏专业“</w:t>
            </w:r>
            <w:r>
              <w:rPr>
                <w:rFonts w:cs="宋体"/>
                <w:sz w:val="24"/>
                <w:szCs w:val="21"/>
              </w:rPr>
              <w:t>2v2”</w:t>
            </w:r>
            <w:r>
              <w:rPr>
                <w:rFonts w:hint="eastAsia" w:cs="宋体"/>
                <w:sz w:val="24"/>
                <w:szCs w:val="21"/>
              </w:rPr>
              <w:t>团队协作麻将竞技平台的空白，满足细分市场的需求，为各类民间赛事提供技术载体。</w:t>
            </w:r>
          </w:p>
          <w:p w14:paraId="4877DA58">
            <w:pPr>
              <w:tabs>
                <w:tab w:val="left" w:pos="567"/>
              </w:tabs>
              <w:spacing w:line="300" w:lineRule="auto"/>
              <w:ind w:firstLine="480" w:firstLineChars="200"/>
              <w:rPr>
                <w:rFonts w:cs="宋体"/>
                <w:b/>
                <w:bCs/>
                <w:sz w:val="24"/>
                <w:szCs w:val="21"/>
              </w:rPr>
            </w:pPr>
            <w:r>
              <w:rPr>
                <w:rFonts w:hint="eastAsia" w:cs="宋体"/>
                <w:sz w:val="24"/>
                <w:szCs w:val="21"/>
              </w:rPr>
              <w:t>另外，本项目涉及WebSocket实时通信、非完备信息博弈逻辑、高并发状态同步等核心技术，是对现代Web游戏开发架构的一次完整的技术验证和实践。</w:t>
            </w:r>
          </w:p>
          <w:p w14:paraId="7433B60B">
            <w:pPr>
              <w:numPr>
                <w:ilvl w:val="0"/>
                <w:numId w:val="2"/>
              </w:numPr>
              <w:spacing w:line="300" w:lineRule="auto"/>
              <w:outlineLvl w:val="1"/>
              <w:rPr>
                <w:rFonts w:cs="宋体"/>
                <w:b/>
                <w:bCs/>
                <w:sz w:val="24"/>
                <w:szCs w:val="21"/>
              </w:rPr>
            </w:pPr>
            <w:r>
              <w:rPr>
                <w:rFonts w:hint="eastAsia" w:cs="宋体"/>
                <w:b/>
                <w:bCs/>
                <w:sz w:val="24"/>
                <w:szCs w:val="21"/>
              </w:rPr>
              <w:t>阅读文献资料进行调研的综述</w:t>
            </w:r>
          </w:p>
          <w:p w14:paraId="7AFEC3B2">
            <w:pPr>
              <w:pStyle w:val="3"/>
              <w:numPr>
                <w:ilvl w:val="0"/>
                <w:numId w:val="4"/>
              </w:numPr>
              <w:spacing w:before="0" w:after="0" w:line="300" w:lineRule="auto"/>
              <w:rPr>
                <w:rFonts w:cs="黑体"/>
                <w:b w:val="0"/>
                <w:bCs w:val="0"/>
                <w:sz w:val="24"/>
                <w:szCs w:val="22"/>
              </w:rPr>
            </w:pPr>
            <w:r>
              <w:rPr>
                <w:rFonts w:hint="eastAsia" w:cs="黑体"/>
                <w:b w:val="0"/>
                <w:bCs w:val="0"/>
                <w:sz w:val="24"/>
                <w:szCs w:val="22"/>
              </w:rPr>
              <w:t>麻将规则的数字化算法与算法优化</w:t>
            </w:r>
          </w:p>
          <w:p w14:paraId="6361B156">
            <w:pPr>
              <w:pStyle w:val="4"/>
              <w:numPr>
                <w:ilvl w:val="2"/>
                <w:numId w:val="0"/>
              </w:numPr>
              <w:spacing w:before="0" w:after="0" w:line="300" w:lineRule="auto"/>
              <w:ind w:firstLine="480" w:firstLineChars="200"/>
              <w:rPr>
                <w:rFonts w:cs="Google Sans"/>
                <w:b w:val="0"/>
                <w:bCs w:val="0"/>
                <w:color w:val="1F1F1F"/>
                <w:sz w:val="24"/>
                <w:szCs w:val="21"/>
              </w:rPr>
            </w:pPr>
            <w:r>
              <w:rPr>
                <w:rFonts w:hint="eastAsia" w:cs="Google Sans"/>
                <w:b w:val="0"/>
                <w:bCs w:val="0"/>
                <w:color w:val="1F1F1F"/>
                <w:sz w:val="24"/>
                <w:szCs w:val="21"/>
              </w:rPr>
              <w:t>麻将作为非完备信息博弈的代表，其核心难点在于巨大的状态空间和隐藏信息，其中的“胡牌判定”与“向听数计算”是核心。针对胡牌的判定逻辑，彭丽蓉等（2021）</w:t>
            </w:r>
            <w:r>
              <w:rPr>
                <w:rFonts w:hint="eastAsia" w:cs="Google Sans"/>
                <w:b w:val="0"/>
                <w:bCs w:val="0"/>
                <w:color w:val="1F1F1F"/>
                <w:sz w:val="24"/>
                <w:szCs w:val="21"/>
                <w:vertAlign w:val="superscript"/>
              </w:rPr>
              <w:fldChar w:fldCharType="begin"/>
            </w:r>
            <w:r>
              <w:rPr>
                <w:rFonts w:hint="eastAsia" w:cs="Google Sans"/>
                <w:b w:val="0"/>
                <w:bCs w:val="0"/>
                <w:color w:val="1F1F1F"/>
                <w:sz w:val="24"/>
                <w:szCs w:val="21"/>
                <w:vertAlign w:val="superscript"/>
              </w:rPr>
              <w:instrText xml:space="preserve"> REF _Ref25303 \r \h </w:instrText>
            </w:r>
            <w:r>
              <w:rPr>
                <w:rFonts w:hint="eastAsia" w:cs="Google Sans"/>
                <w:b w:val="0"/>
                <w:bCs w:val="0"/>
                <w:color w:val="1F1F1F"/>
                <w:sz w:val="24"/>
                <w:szCs w:val="21"/>
                <w:vertAlign w:val="superscript"/>
              </w:rPr>
              <w:fldChar w:fldCharType="separate"/>
            </w:r>
            <w:r>
              <w:rPr>
                <w:rFonts w:hint="eastAsia" w:cs="Google Sans"/>
                <w:b w:val="0"/>
                <w:bCs w:val="0"/>
                <w:color w:val="1F1F1F"/>
                <w:sz w:val="24"/>
                <w:szCs w:val="21"/>
                <w:vertAlign w:val="superscript"/>
              </w:rPr>
              <w:t>[1]</w:t>
            </w:r>
            <w:r>
              <w:rPr>
                <w:rFonts w:hint="eastAsia" w:cs="Google Sans"/>
                <w:b w:val="0"/>
                <w:bCs w:val="0"/>
                <w:color w:val="1F1F1F"/>
                <w:sz w:val="24"/>
                <w:szCs w:val="21"/>
                <w:vertAlign w:val="superscript"/>
              </w:rPr>
              <w:fldChar w:fldCharType="end"/>
            </w:r>
            <w:r>
              <w:rPr>
                <w:rFonts w:hint="eastAsia" w:cs="Google Sans"/>
                <w:b w:val="0"/>
                <w:bCs w:val="0"/>
                <w:color w:val="1F1F1F"/>
                <w:sz w:val="24"/>
                <w:szCs w:val="21"/>
              </w:rPr>
              <w:t>专门针对大众麻将计算机博弈中的胡牌方法进行了深入研究，为系统规则校验提供了基础支持。</w:t>
            </w:r>
          </w:p>
          <w:p w14:paraId="6F692C9F">
            <w:pPr>
              <w:pStyle w:val="4"/>
              <w:numPr>
                <w:ilvl w:val="2"/>
                <w:numId w:val="0"/>
              </w:numPr>
              <w:spacing w:before="0" w:after="0" w:line="300" w:lineRule="auto"/>
              <w:ind w:firstLine="480" w:firstLineChars="200"/>
              <w:rPr>
                <w:rFonts w:cs="Google Sans"/>
                <w:b w:val="0"/>
                <w:bCs w:val="0"/>
                <w:color w:val="1F1F1F"/>
                <w:sz w:val="24"/>
                <w:szCs w:val="21"/>
              </w:rPr>
            </w:pPr>
            <w:r>
              <w:rPr>
                <w:rFonts w:hint="eastAsia" w:cs="Google Sans"/>
                <w:b w:val="0"/>
                <w:bCs w:val="0"/>
                <w:color w:val="1F1F1F"/>
                <w:sz w:val="24"/>
                <w:szCs w:val="21"/>
              </w:rPr>
              <w:t>在算法优化方面，Yan Xueqing等（2023）</w:t>
            </w:r>
            <w:r>
              <w:rPr>
                <w:rFonts w:hint="eastAsia" w:cs="Google Sans"/>
                <w:b w:val="0"/>
                <w:bCs w:val="0"/>
                <w:color w:val="1F1F1F"/>
                <w:sz w:val="24"/>
                <w:szCs w:val="21"/>
                <w:vertAlign w:val="superscript"/>
              </w:rPr>
              <w:fldChar w:fldCharType="begin"/>
            </w:r>
            <w:r>
              <w:rPr>
                <w:rFonts w:hint="eastAsia" w:cs="Google Sans"/>
                <w:b w:val="0"/>
                <w:bCs w:val="0"/>
                <w:color w:val="1F1F1F"/>
                <w:sz w:val="24"/>
                <w:szCs w:val="21"/>
                <w:vertAlign w:val="superscript"/>
              </w:rPr>
              <w:instrText xml:space="preserve"> REF _Ref25558 \r \h </w:instrText>
            </w:r>
            <w:r>
              <w:rPr>
                <w:rFonts w:hint="eastAsia" w:cs="Google Sans"/>
                <w:b w:val="0"/>
                <w:bCs w:val="0"/>
                <w:color w:val="1F1F1F"/>
                <w:sz w:val="24"/>
                <w:szCs w:val="21"/>
                <w:vertAlign w:val="superscript"/>
              </w:rPr>
              <w:fldChar w:fldCharType="separate"/>
            </w:r>
            <w:r>
              <w:rPr>
                <w:rFonts w:hint="eastAsia" w:cs="Google Sans"/>
                <w:b w:val="0"/>
                <w:bCs w:val="0"/>
                <w:color w:val="1F1F1F"/>
                <w:sz w:val="24"/>
                <w:szCs w:val="21"/>
                <w:vertAlign w:val="superscript"/>
              </w:rPr>
              <w:t>[2]</w:t>
            </w:r>
            <w:r>
              <w:rPr>
                <w:rFonts w:hint="eastAsia" w:cs="Google Sans"/>
                <w:b w:val="0"/>
                <w:bCs w:val="0"/>
                <w:color w:val="1F1F1F"/>
                <w:sz w:val="24"/>
                <w:szCs w:val="21"/>
                <w:vertAlign w:val="superscript"/>
              </w:rPr>
              <w:fldChar w:fldCharType="end"/>
            </w:r>
            <w:r>
              <w:rPr>
                <w:rFonts w:hint="eastAsia" w:cs="Google Sans"/>
                <w:b w:val="0"/>
                <w:bCs w:val="0"/>
                <w:color w:val="1F1F1F"/>
                <w:sz w:val="24"/>
                <w:szCs w:val="21"/>
              </w:rPr>
              <w:t>提出了一种基于离散差分进化（Discrete Differential Evolution）的变量优化算法，用于处理麻将手牌的向听数（Deficiency Number）问题。为了进一步提升计算效率以满足实时竞技系统的需求，Yan Xueqing等（2024）</w:t>
            </w:r>
            <w:r>
              <w:rPr>
                <w:rFonts w:hint="eastAsia" w:cs="Google Sans"/>
                <w:b w:val="0"/>
                <w:bCs w:val="0"/>
                <w:color w:val="1F1F1F"/>
                <w:sz w:val="24"/>
                <w:szCs w:val="21"/>
                <w:vertAlign w:val="superscript"/>
              </w:rPr>
              <w:fldChar w:fldCharType="begin"/>
            </w:r>
            <w:r>
              <w:rPr>
                <w:rFonts w:hint="eastAsia" w:cs="Google Sans"/>
                <w:b w:val="0"/>
                <w:bCs w:val="0"/>
                <w:color w:val="1F1F1F"/>
                <w:sz w:val="24"/>
                <w:szCs w:val="21"/>
                <w:vertAlign w:val="superscript"/>
              </w:rPr>
              <w:instrText xml:space="preserve"> REF _Ref25597 \r \h </w:instrText>
            </w:r>
            <w:r>
              <w:rPr>
                <w:rFonts w:hint="eastAsia" w:cs="Google Sans"/>
                <w:b w:val="0"/>
                <w:bCs w:val="0"/>
                <w:color w:val="1F1F1F"/>
                <w:sz w:val="24"/>
                <w:szCs w:val="21"/>
                <w:vertAlign w:val="superscript"/>
              </w:rPr>
              <w:fldChar w:fldCharType="separate"/>
            </w:r>
            <w:r>
              <w:rPr>
                <w:rFonts w:hint="eastAsia" w:cs="Google Sans"/>
                <w:b w:val="0"/>
                <w:bCs w:val="0"/>
                <w:color w:val="1F1F1F"/>
                <w:sz w:val="24"/>
                <w:szCs w:val="21"/>
                <w:vertAlign w:val="superscript"/>
              </w:rPr>
              <w:t>[3]</w:t>
            </w:r>
            <w:r>
              <w:rPr>
                <w:rFonts w:hint="eastAsia" w:cs="Google Sans"/>
                <w:b w:val="0"/>
                <w:bCs w:val="0"/>
                <w:color w:val="1F1F1F"/>
                <w:sz w:val="24"/>
                <w:szCs w:val="21"/>
                <w:vertAlign w:val="superscript"/>
              </w:rPr>
              <w:fldChar w:fldCharType="end"/>
            </w:r>
            <w:r>
              <w:rPr>
                <w:rFonts w:hint="eastAsia" w:cs="Google Sans"/>
                <w:b w:val="0"/>
                <w:bCs w:val="0"/>
                <w:color w:val="1F1F1F"/>
                <w:sz w:val="24"/>
                <w:szCs w:val="21"/>
              </w:rPr>
              <w:t>随后又提出了一种计算麻将手牌向听数的专用快速算法。这些底层算法的优化对于保障比赛系统中规则判定的实时性至关重要。</w:t>
            </w:r>
          </w:p>
          <w:p w14:paraId="171C44FC">
            <w:pPr>
              <w:pStyle w:val="3"/>
              <w:numPr>
                <w:ilvl w:val="0"/>
                <w:numId w:val="4"/>
              </w:numPr>
              <w:spacing w:before="0" w:after="0" w:line="300" w:lineRule="auto"/>
              <w:rPr>
                <w:rFonts w:cs="黑体"/>
                <w:b w:val="0"/>
                <w:bCs w:val="0"/>
                <w:sz w:val="24"/>
                <w:szCs w:val="22"/>
              </w:rPr>
            </w:pPr>
            <w:r>
              <w:rPr>
                <w:rFonts w:hint="eastAsia" w:cs="黑体"/>
                <w:b w:val="0"/>
                <w:bCs w:val="0"/>
                <w:sz w:val="24"/>
                <w:szCs w:val="22"/>
              </w:rPr>
              <w:t>麻将游戏系统的架构与实现</w:t>
            </w:r>
          </w:p>
          <w:p w14:paraId="4855C81A">
            <w:pPr>
              <w:pStyle w:val="6"/>
              <w:widowControl/>
              <w:spacing w:beforeAutospacing="0" w:afterAutospacing="0" w:line="300" w:lineRule="auto"/>
              <w:ind w:firstLine="480" w:firstLineChars="200"/>
              <w:rPr>
                <w:szCs w:val="21"/>
              </w:rPr>
            </w:pPr>
            <w:r>
              <w:rPr>
                <w:szCs w:val="21"/>
              </w:rPr>
              <w:t>比赛系统的工程实现涉及图形渲染、交互逻辑与服务器通信。</w:t>
            </w:r>
          </w:p>
          <w:p w14:paraId="6D96165C">
            <w:pPr>
              <w:pStyle w:val="6"/>
              <w:widowControl/>
              <w:spacing w:beforeAutospacing="0" w:afterAutospacing="0" w:line="300" w:lineRule="auto"/>
              <w:ind w:firstLine="480" w:firstLineChars="200"/>
              <w:rPr>
                <w:szCs w:val="21"/>
              </w:rPr>
            </w:pPr>
            <w:r>
              <w:rPr>
                <w:szCs w:val="21"/>
              </w:rPr>
              <w:t>针对高并发场景下的数据存储与性能优化，Joshi（2024）</w:t>
            </w:r>
            <w:r>
              <w:rPr>
                <w:rFonts w:cs="Google Sans"/>
                <w:color w:val="1F1F1F"/>
                <w:szCs w:val="21"/>
                <w:vertAlign w:val="superscript"/>
              </w:rPr>
              <w:fldChar w:fldCharType="begin"/>
            </w:r>
            <w:r>
              <w:rPr>
                <w:rFonts w:cs="Google Sans"/>
                <w:color w:val="1F1F1F"/>
                <w:szCs w:val="21"/>
                <w:vertAlign w:val="superscript"/>
              </w:rPr>
              <w:instrText xml:space="preserve"> REF _Ref25836 \r \h </w:instrText>
            </w:r>
            <w:r>
              <w:rPr>
                <w:rFonts w:cs="Google Sans"/>
                <w:color w:val="1F1F1F"/>
                <w:szCs w:val="21"/>
                <w:vertAlign w:val="superscript"/>
              </w:rPr>
              <w:fldChar w:fldCharType="separate"/>
            </w:r>
            <w:r>
              <w:rPr>
                <w:rFonts w:cs="Google Sans"/>
                <w:color w:val="1F1F1F"/>
                <w:szCs w:val="21"/>
                <w:vertAlign w:val="superscript"/>
              </w:rPr>
              <w:t>[4]</w:t>
            </w:r>
            <w:r>
              <w:rPr>
                <w:rFonts w:cs="Google Sans"/>
                <w:color w:val="1F1F1F"/>
                <w:szCs w:val="21"/>
                <w:vertAlign w:val="superscript"/>
              </w:rPr>
              <w:fldChar w:fldCharType="end"/>
            </w:r>
            <w:r>
              <w:rPr>
                <w:szCs w:val="21"/>
              </w:rPr>
              <w:t>的研究探讨了Redis在云端架构中的缓存优化</w:t>
            </w:r>
            <w:r>
              <w:rPr>
                <w:rFonts w:hint="eastAsia"/>
                <w:szCs w:val="21"/>
              </w:rPr>
              <w:t>。</w:t>
            </w:r>
            <w:r>
              <w:rPr>
                <w:szCs w:val="21"/>
              </w:rPr>
              <w:t>研究表明，通过引入Redis作为内存数据存储，并采用</w:t>
            </w:r>
            <w:r>
              <w:rPr>
                <w:rFonts w:hint="eastAsia"/>
                <w:szCs w:val="21"/>
              </w:rPr>
              <w:t>“</w:t>
            </w:r>
            <w:r>
              <w:rPr>
                <w:szCs w:val="21"/>
              </w:rPr>
              <w:t>旁路缓存</w:t>
            </w:r>
            <w:r>
              <w:rPr>
                <w:rFonts w:hint="eastAsia"/>
                <w:szCs w:val="21"/>
              </w:rPr>
              <w:t>”</w:t>
            </w:r>
            <w:r>
              <w:rPr>
                <w:szCs w:val="21"/>
              </w:rPr>
              <w:t>等策略 ，可以显著减少对后端主数据库的直接访问。Redis在管理用户会话和实时状态方面表现优异，这为本系统利用Redis</w:t>
            </w:r>
            <w:r>
              <w:rPr>
                <w:rFonts w:hint="eastAsia"/>
                <w:szCs w:val="21"/>
              </w:rPr>
              <w:t>实时记录对</w:t>
            </w:r>
            <w:r>
              <w:rPr>
                <w:szCs w:val="21"/>
              </w:rPr>
              <w:t>局状态、缓解数据库压力提供了关键的技术依据。</w:t>
            </w:r>
          </w:p>
          <w:p w14:paraId="19315744">
            <w:pPr>
              <w:pStyle w:val="6"/>
              <w:widowControl/>
              <w:spacing w:beforeAutospacing="0" w:afterAutospacing="0" w:line="300" w:lineRule="auto"/>
              <w:ind w:firstLine="480" w:firstLineChars="200"/>
              <w:rPr>
                <w:rFonts w:cs="黑体"/>
                <w:szCs w:val="22"/>
              </w:rPr>
            </w:pPr>
            <w:r>
              <w:rPr>
                <w:rFonts w:hint="eastAsia" w:cs="黑体"/>
                <w:szCs w:val="22"/>
              </w:rPr>
              <w:t>在客户端界面与交互逻辑的实现上，徐子怡等（2023）</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_Ref25976 \r \h </w:instrText>
            </w:r>
            <w:r>
              <w:rPr>
                <w:rFonts w:hint="eastAsia" w:cs="Google Sans"/>
                <w:color w:val="1F1F1F"/>
                <w:szCs w:val="21"/>
                <w:vertAlign w:val="superscript"/>
              </w:rPr>
              <w:fldChar w:fldCharType="separate"/>
            </w:r>
            <w:r>
              <w:rPr>
                <w:rFonts w:hint="eastAsia" w:cs="Google Sans"/>
                <w:color w:val="1F1F1F"/>
                <w:szCs w:val="21"/>
                <w:vertAlign w:val="superscript"/>
              </w:rPr>
              <w:t>[5]</w:t>
            </w:r>
            <w:r>
              <w:rPr>
                <w:rFonts w:hint="eastAsia" w:cs="Google Sans"/>
                <w:color w:val="1F1F1F"/>
                <w:szCs w:val="21"/>
                <w:vertAlign w:val="superscript"/>
              </w:rPr>
              <w:fldChar w:fldCharType="end"/>
            </w:r>
            <w:r>
              <w:rPr>
                <w:rFonts w:hint="eastAsia" w:cs="黑体"/>
                <w:szCs w:val="22"/>
              </w:rPr>
              <w:t>基于QT框架设计了武汉麻将游戏的起牌与显示逻辑，详细阐释了如何将复杂的麻将规则转化为严谨的计算机代码。此外，刘皎（2019）</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_Ref26005 \r \h </w:instrText>
            </w:r>
            <w:r>
              <w:rPr>
                <w:rFonts w:hint="eastAsia" w:cs="Google Sans"/>
                <w:color w:val="1F1F1F"/>
                <w:szCs w:val="21"/>
                <w:vertAlign w:val="superscript"/>
              </w:rPr>
              <w:fldChar w:fldCharType="separate"/>
            </w:r>
            <w:r>
              <w:rPr>
                <w:rFonts w:hint="eastAsia" w:cs="Google Sans"/>
                <w:color w:val="1F1F1F"/>
                <w:szCs w:val="21"/>
                <w:vertAlign w:val="superscript"/>
              </w:rPr>
              <w:t>[6]</w:t>
            </w:r>
            <w:r>
              <w:rPr>
                <w:rFonts w:hint="eastAsia" w:cs="Google Sans"/>
                <w:color w:val="1F1F1F"/>
                <w:szCs w:val="21"/>
                <w:vertAlign w:val="superscript"/>
              </w:rPr>
              <w:fldChar w:fldCharType="end"/>
            </w:r>
            <w:r>
              <w:rPr>
                <w:rFonts w:hint="eastAsia" w:cs="黑体"/>
                <w:szCs w:val="22"/>
              </w:rPr>
              <w:t>探讨了基于Cocos2d-x引擎的麻将游戏设计。这表明采用Cocos系列引擎组件化开发模式，非常适合本课题构建跨终端的Web对战平台。</w:t>
            </w:r>
          </w:p>
          <w:p w14:paraId="5F846E5F">
            <w:pPr>
              <w:pStyle w:val="6"/>
              <w:widowControl/>
              <w:spacing w:beforeAutospacing="0" w:afterAutospacing="0" w:line="300" w:lineRule="auto"/>
              <w:ind w:firstLine="480" w:firstLineChars="200"/>
              <w:rPr>
                <w:rFonts w:cs="黑体"/>
                <w:szCs w:val="22"/>
              </w:rPr>
            </w:pPr>
            <w:r>
              <w:rPr>
                <w:rFonts w:hint="eastAsia" w:cs="黑体"/>
                <w:szCs w:val="22"/>
              </w:rPr>
              <w:t>在麻将这类实时对战系统中，客户端与服务器的高效通信至关重要。传统HTTP协议采用请求-响应模式，服务端无法主动推送数据，且轮询方式会带来较大开销。WebSocket协议支持服务端与客户端之间的全双工实时通信，具有低延迟、头部开销小、服务器可主动推送等优势，非常适合于棋牌游戏的实时操作同步场景。徐智勇等（2024）</w:t>
            </w:r>
            <w:r>
              <w:rPr>
                <w:rFonts w:hint="eastAsia" w:cs="黑体"/>
                <w:szCs w:val="22"/>
                <w:vertAlign w:val="superscript"/>
              </w:rPr>
              <w:fldChar w:fldCharType="begin"/>
            </w:r>
            <w:r>
              <w:rPr>
                <w:rFonts w:hint="eastAsia" w:cs="黑体"/>
                <w:szCs w:val="22"/>
                <w:vertAlign w:val="superscript"/>
              </w:rPr>
              <w:instrText xml:space="preserve"> REF _Ref14626 \r \h </w:instrText>
            </w:r>
            <w:r>
              <w:rPr>
                <w:rFonts w:hint="eastAsia" w:cs="黑体"/>
                <w:szCs w:val="22"/>
                <w:vertAlign w:val="superscript"/>
              </w:rPr>
              <w:fldChar w:fldCharType="separate"/>
            </w:r>
            <w:r>
              <w:rPr>
                <w:rFonts w:hint="eastAsia" w:cs="黑体"/>
                <w:szCs w:val="22"/>
                <w:vertAlign w:val="superscript"/>
              </w:rPr>
              <w:t>[7]</w:t>
            </w:r>
            <w:r>
              <w:rPr>
                <w:rFonts w:hint="eastAsia" w:cs="黑体"/>
                <w:szCs w:val="22"/>
                <w:vertAlign w:val="superscript"/>
              </w:rPr>
              <w:fldChar w:fldCharType="end"/>
            </w:r>
            <w:r>
              <w:rPr>
                <w:rFonts w:hint="eastAsia" w:cs="黑体"/>
                <w:szCs w:val="22"/>
              </w:rPr>
              <w:t>基于WebSocket设计了一套消息安全推送系统，重点解决了长连接的心跳维持、离线消息补发及通信加密等问题，验证了WebSocket在实时系统中的可靠性。该研究为本课题采用WebSocket实现麻将发牌、出牌等操作的实时同步提供了有力的技术支撑。</w:t>
            </w:r>
          </w:p>
          <w:p w14:paraId="69E3670E">
            <w:pPr>
              <w:pStyle w:val="6"/>
              <w:widowControl/>
              <w:numPr>
                <w:ilvl w:val="0"/>
                <w:numId w:val="4"/>
              </w:numPr>
              <w:spacing w:beforeAutospacing="0" w:afterAutospacing="0" w:line="300" w:lineRule="auto"/>
              <w:rPr>
                <w:rFonts w:cs="黑体"/>
                <w:szCs w:val="22"/>
              </w:rPr>
            </w:pPr>
            <w:r>
              <w:rPr>
                <w:rFonts w:hint="eastAsia" w:cs="黑体"/>
                <w:szCs w:val="22"/>
              </w:rPr>
              <w:t>非完备信息博弈与麻将AI策略研究</w:t>
            </w:r>
          </w:p>
          <w:p w14:paraId="58E5CDB5">
            <w:pPr>
              <w:pStyle w:val="6"/>
              <w:widowControl/>
              <w:spacing w:beforeAutospacing="0" w:afterAutospacing="0" w:line="300" w:lineRule="auto"/>
              <w:ind w:firstLine="480" w:firstLineChars="200"/>
              <w:rPr>
                <w:szCs w:val="21"/>
              </w:rPr>
            </w:pPr>
            <w:r>
              <w:rPr>
                <w:rFonts w:hint="eastAsia"/>
                <w:szCs w:val="21"/>
              </w:rPr>
              <w:t>虽然本课题侧重于比赛系统的工程实现，但引入不同层级的智能算法对于实现系统核心功能如“出牌提示”、“智能托管”及“防作弊监测”具有主要作用。针对麻将这一典型的非完备信息博弈，李霞丽等（2023）</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_Ref26116 \r \h </w:instrText>
            </w:r>
            <w:r>
              <w:rPr>
                <w:rFonts w:hint="eastAsia" w:cs="Google Sans"/>
                <w:color w:val="1F1F1F"/>
                <w:szCs w:val="21"/>
                <w:vertAlign w:val="superscript"/>
              </w:rPr>
              <w:fldChar w:fldCharType="separate"/>
            </w:r>
            <w:r>
              <w:rPr>
                <w:rFonts w:hint="eastAsia" w:cs="Google Sans"/>
                <w:color w:val="1F1F1F"/>
                <w:szCs w:val="21"/>
                <w:vertAlign w:val="superscript"/>
              </w:rPr>
              <w:t>[8]</w:t>
            </w:r>
            <w:r>
              <w:rPr>
                <w:rFonts w:hint="eastAsia" w:cs="Google Sans"/>
                <w:color w:val="1F1F1F"/>
                <w:szCs w:val="21"/>
                <w:vertAlign w:val="superscript"/>
              </w:rPr>
              <w:fldChar w:fldCharType="end"/>
            </w:r>
            <w:r>
              <w:rPr>
                <w:rFonts w:hint="eastAsia"/>
                <w:szCs w:val="21"/>
              </w:rPr>
              <w:t>对麻将博弈AI的构建方法进行了全面的综述，系统梳理了目前该领域的技术路线。</w:t>
            </w:r>
          </w:p>
          <w:p w14:paraId="316CA05B">
            <w:pPr>
              <w:pStyle w:val="6"/>
              <w:widowControl/>
              <w:spacing w:beforeAutospacing="0" w:afterAutospacing="0" w:line="300" w:lineRule="auto"/>
              <w:ind w:firstLine="480" w:firstLineChars="200"/>
              <w:rPr>
                <w:szCs w:val="21"/>
              </w:rPr>
            </w:pPr>
            <w:r>
              <w:rPr>
                <w:rFonts w:hint="eastAsia"/>
                <w:szCs w:val="21"/>
              </w:rPr>
              <w:t>针对麻将这一典型的非完备信息博弈，目前的研究广泛应用了搜索算法。雷捷维等（2021）</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_Ref26792 \r \h </w:instrText>
            </w:r>
            <w:r>
              <w:rPr>
                <w:rFonts w:hint="eastAsia" w:cs="Google Sans"/>
                <w:color w:val="1F1F1F"/>
                <w:szCs w:val="21"/>
                <w:vertAlign w:val="superscript"/>
              </w:rPr>
              <w:fldChar w:fldCharType="separate"/>
            </w:r>
            <w:r>
              <w:rPr>
                <w:rFonts w:hint="eastAsia" w:cs="Google Sans"/>
                <w:color w:val="1F1F1F"/>
                <w:szCs w:val="21"/>
                <w:vertAlign w:val="superscript"/>
              </w:rPr>
              <w:t>[9]</w:t>
            </w:r>
            <w:r>
              <w:rPr>
                <w:rFonts w:hint="eastAsia" w:cs="Google Sans"/>
                <w:color w:val="1F1F1F"/>
                <w:szCs w:val="21"/>
                <w:vertAlign w:val="superscript"/>
              </w:rPr>
              <w:fldChar w:fldCharType="end"/>
            </w:r>
            <w:r>
              <w:rPr>
                <w:rFonts w:hint="eastAsia"/>
                <w:szCs w:val="21"/>
              </w:rPr>
              <w:t>研究了基于Expectimax搜索与Double DQN的非完备信息博弈算法。同时，蒙特卡洛模拟被证明是处理此类问题的有效手段，王亚杰等（2022）</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_Ref26191 \r \h </w:instrText>
            </w:r>
            <w:r>
              <w:rPr>
                <w:rFonts w:hint="eastAsia" w:cs="Google Sans"/>
                <w:color w:val="1F1F1F"/>
                <w:szCs w:val="21"/>
                <w:vertAlign w:val="superscript"/>
              </w:rPr>
              <w:fldChar w:fldCharType="separate"/>
            </w:r>
            <w:r>
              <w:rPr>
                <w:rFonts w:hint="eastAsia" w:cs="Google Sans"/>
                <w:color w:val="1F1F1F"/>
                <w:szCs w:val="21"/>
                <w:vertAlign w:val="superscript"/>
              </w:rPr>
              <w:t>[10]</w:t>
            </w:r>
            <w:r>
              <w:rPr>
                <w:rFonts w:hint="eastAsia" w:cs="Google Sans"/>
                <w:color w:val="1F1F1F"/>
                <w:szCs w:val="21"/>
                <w:vertAlign w:val="superscript"/>
              </w:rPr>
              <w:fldChar w:fldCharType="end"/>
            </w:r>
            <w:r>
              <w:rPr>
                <w:rFonts w:hint="eastAsia"/>
                <w:szCs w:val="21"/>
              </w:rPr>
              <w:t>探讨了结合先验知识与蒙特卡罗模拟的麻将博弈研究；Chen等（2022）</w:t>
            </w:r>
            <w:r>
              <w:rPr>
                <w:rFonts w:hint="eastAsia"/>
                <w:szCs w:val="21"/>
                <w:vertAlign w:val="superscript"/>
              </w:rPr>
              <w:fldChar w:fldCharType="begin"/>
            </w:r>
            <w:r>
              <w:rPr>
                <w:rFonts w:hint="eastAsia"/>
                <w:szCs w:val="21"/>
                <w:vertAlign w:val="superscript"/>
              </w:rPr>
              <w:instrText xml:space="preserve"> REF _Ref23755 \r \h </w:instrText>
            </w:r>
            <w:r>
              <w:rPr>
                <w:rFonts w:hint="eastAsia"/>
                <w:szCs w:val="21"/>
                <w:vertAlign w:val="superscript"/>
              </w:rPr>
              <w:fldChar w:fldCharType="separate"/>
            </w:r>
            <w:r>
              <w:rPr>
                <w:rFonts w:hint="eastAsia"/>
                <w:szCs w:val="21"/>
                <w:vertAlign w:val="superscript"/>
              </w:rPr>
              <w:t>[11]</w:t>
            </w:r>
            <w:r>
              <w:rPr>
                <w:rFonts w:hint="eastAsia"/>
                <w:szCs w:val="21"/>
                <w:vertAlign w:val="superscript"/>
              </w:rPr>
              <w:fldChar w:fldCharType="end"/>
            </w:r>
            <w:r>
              <w:rPr>
                <w:rFonts w:hint="eastAsia"/>
                <w:szCs w:val="21"/>
              </w:rPr>
              <w:t>也充分展示了蒙特卡洛模拟在评估麻将决策期望值中的有效性。</w:t>
            </w:r>
          </w:p>
          <w:p w14:paraId="1597EC6F">
            <w:pPr>
              <w:pStyle w:val="6"/>
              <w:widowControl/>
              <w:spacing w:beforeAutospacing="0" w:afterAutospacing="0" w:line="300" w:lineRule="auto"/>
              <w:ind w:firstLine="480" w:firstLineChars="200"/>
              <w:rPr>
                <w:szCs w:val="21"/>
              </w:rPr>
            </w:pPr>
            <w:r>
              <w:rPr>
                <w:rFonts w:hint="eastAsia"/>
                <w:szCs w:val="21"/>
              </w:rPr>
              <w:t>在深度强化学习与高阶策略方面，王世鹏等（2025）</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_Ref26962 \r \h </w:instrText>
            </w:r>
            <w:r>
              <w:rPr>
                <w:rFonts w:hint="eastAsia" w:cs="Google Sans"/>
                <w:color w:val="1F1F1F"/>
                <w:szCs w:val="21"/>
                <w:vertAlign w:val="superscript"/>
              </w:rPr>
              <w:fldChar w:fldCharType="separate"/>
            </w:r>
            <w:r>
              <w:rPr>
                <w:rFonts w:hint="eastAsia" w:cs="Google Sans"/>
                <w:color w:val="1F1F1F"/>
                <w:szCs w:val="21"/>
                <w:vertAlign w:val="superscript"/>
              </w:rPr>
              <w:t>[12]</w:t>
            </w:r>
            <w:r>
              <w:rPr>
                <w:rFonts w:hint="eastAsia" w:cs="Google Sans"/>
                <w:color w:val="1F1F1F"/>
                <w:szCs w:val="21"/>
                <w:vertAlign w:val="superscript"/>
              </w:rPr>
              <w:fldChar w:fldCharType="end"/>
            </w:r>
            <w:r>
              <w:rPr>
                <w:rFonts w:hint="eastAsia"/>
                <w:szCs w:val="21"/>
              </w:rPr>
              <w:t>研究了结合PPO和蒙特卡洛树搜索的博弈模型，为处理隐藏信息提供了新思路。李淑琴等（2022）</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_Ref26985 \r \h </w:instrText>
            </w:r>
            <w:r>
              <w:rPr>
                <w:rFonts w:hint="eastAsia" w:cs="Google Sans"/>
                <w:color w:val="1F1F1F"/>
                <w:szCs w:val="21"/>
                <w:vertAlign w:val="superscript"/>
              </w:rPr>
              <w:fldChar w:fldCharType="separate"/>
            </w:r>
            <w:r>
              <w:rPr>
                <w:rFonts w:hint="eastAsia" w:cs="Google Sans"/>
                <w:color w:val="1F1F1F"/>
                <w:szCs w:val="21"/>
                <w:vertAlign w:val="superscript"/>
              </w:rPr>
              <w:t>[13]</w:t>
            </w:r>
            <w:r>
              <w:rPr>
                <w:rFonts w:hint="eastAsia" w:cs="Google Sans"/>
                <w:color w:val="1F1F1F"/>
                <w:szCs w:val="21"/>
                <w:vertAlign w:val="superscript"/>
              </w:rPr>
              <w:fldChar w:fldCharType="end"/>
            </w:r>
            <w:r>
              <w:rPr>
                <w:rFonts w:hint="eastAsia"/>
                <w:szCs w:val="21"/>
              </w:rPr>
              <w:t>提出了一种多重优先经验回放的麻将游戏数据利用方法，以优化模型训练。Yan Mingzhu等（2024）</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_Ref27008 \r \h </w:instrText>
            </w:r>
            <w:r>
              <w:rPr>
                <w:rFonts w:hint="eastAsia" w:cs="Google Sans"/>
                <w:color w:val="1F1F1F"/>
                <w:szCs w:val="21"/>
                <w:vertAlign w:val="superscript"/>
              </w:rPr>
              <w:fldChar w:fldCharType="separate"/>
            </w:r>
            <w:r>
              <w:rPr>
                <w:rFonts w:hint="eastAsia" w:cs="Google Sans"/>
                <w:color w:val="1F1F1F"/>
                <w:szCs w:val="21"/>
                <w:vertAlign w:val="superscript"/>
              </w:rPr>
              <w:t>[14]</w:t>
            </w:r>
            <w:r>
              <w:rPr>
                <w:rFonts w:hint="eastAsia" w:cs="Google Sans"/>
                <w:color w:val="1F1F1F"/>
                <w:szCs w:val="21"/>
                <w:vertAlign w:val="superscript"/>
              </w:rPr>
              <w:fldChar w:fldCharType="end"/>
            </w:r>
            <w:r>
              <w:rPr>
                <w:rFonts w:hint="eastAsia"/>
                <w:szCs w:val="21"/>
              </w:rPr>
              <w:t>则提出了一种基于注意力机制（Attention Mechanism）的分段优化出牌方法。针对状态空间爆炸问题，Pateria等（2021）</w:t>
            </w:r>
            <w:r>
              <w:rPr>
                <w:rFonts w:hint="eastAsia" w:cs="Google Sans"/>
                <w:color w:val="1F1F1F"/>
                <w:szCs w:val="21"/>
                <w:vertAlign w:val="superscript"/>
              </w:rPr>
              <w:fldChar w:fldCharType="begin"/>
            </w:r>
            <w:r>
              <w:rPr>
                <w:rFonts w:hint="eastAsia" w:cs="Google Sans"/>
                <w:color w:val="1F1F1F"/>
                <w:szCs w:val="21"/>
                <w:vertAlign w:val="superscript"/>
              </w:rPr>
              <w:instrText xml:space="preserve"> REF _Ref27031 \r \h </w:instrText>
            </w:r>
            <w:r>
              <w:rPr>
                <w:rFonts w:hint="eastAsia" w:cs="Google Sans"/>
                <w:color w:val="1F1F1F"/>
                <w:szCs w:val="21"/>
                <w:vertAlign w:val="superscript"/>
              </w:rPr>
              <w:fldChar w:fldCharType="separate"/>
            </w:r>
            <w:r>
              <w:rPr>
                <w:rFonts w:hint="eastAsia" w:cs="Google Sans"/>
                <w:color w:val="1F1F1F"/>
                <w:szCs w:val="21"/>
                <w:vertAlign w:val="superscript"/>
              </w:rPr>
              <w:t>[15]</w:t>
            </w:r>
            <w:r>
              <w:rPr>
                <w:rFonts w:hint="eastAsia" w:cs="Google Sans"/>
                <w:color w:val="1F1F1F"/>
                <w:szCs w:val="21"/>
                <w:vertAlign w:val="superscript"/>
              </w:rPr>
              <w:fldChar w:fldCharType="end"/>
            </w:r>
            <w:r>
              <w:rPr>
                <w:rFonts w:hint="eastAsia"/>
                <w:szCs w:val="21"/>
              </w:rPr>
              <w:t>在关于分层强化学习（Hierarchical RL）的综述中指出，将任务分解为多层次子任务是未来的重要发展方向。</w:t>
            </w:r>
          </w:p>
          <w:p w14:paraId="7A97915F">
            <w:pPr>
              <w:pStyle w:val="6"/>
              <w:widowControl/>
              <w:spacing w:beforeAutospacing="0" w:afterAutospacing="0" w:line="300" w:lineRule="auto"/>
              <w:ind w:firstLine="480" w:firstLineChars="200"/>
              <w:rPr>
                <w:szCs w:val="21"/>
              </w:rPr>
            </w:pPr>
            <w:r>
              <w:rPr>
                <w:szCs w:val="21"/>
              </w:rPr>
              <w:t>在</w:t>
            </w:r>
            <w:r>
              <w:rPr>
                <w:rFonts w:hint="eastAsia"/>
                <w:szCs w:val="21"/>
              </w:rPr>
              <w:t>防比赛作弊</w:t>
            </w:r>
            <w:r>
              <w:rPr>
                <w:szCs w:val="21"/>
              </w:rPr>
              <w:t>方面，Kurita和Hoki（20</w:t>
            </w:r>
            <w:r>
              <w:rPr>
                <w:rFonts w:hint="eastAsia"/>
                <w:szCs w:val="21"/>
              </w:rPr>
              <w:t>20</w:t>
            </w:r>
            <w:r>
              <w:rPr>
                <w:szCs w:val="21"/>
              </w:rPr>
              <w:t>）</w:t>
            </w:r>
            <w:r>
              <w:rPr>
                <w:rFonts w:cs="Google Sans"/>
                <w:color w:val="1F1F1F"/>
                <w:szCs w:val="21"/>
                <w:vertAlign w:val="superscript"/>
              </w:rPr>
              <w:fldChar w:fldCharType="begin"/>
            </w:r>
            <w:r>
              <w:rPr>
                <w:rFonts w:cs="Google Sans"/>
                <w:color w:val="1F1F1F"/>
                <w:szCs w:val="21"/>
                <w:vertAlign w:val="superscript"/>
              </w:rPr>
              <w:instrText xml:space="preserve"> REF _Ref27050 \r \h </w:instrText>
            </w:r>
            <w:r>
              <w:rPr>
                <w:rFonts w:cs="Google Sans"/>
                <w:color w:val="1F1F1F"/>
                <w:szCs w:val="21"/>
                <w:vertAlign w:val="superscript"/>
              </w:rPr>
              <w:fldChar w:fldCharType="separate"/>
            </w:r>
            <w:r>
              <w:rPr>
                <w:rFonts w:cs="Google Sans"/>
                <w:color w:val="1F1F1F"/>
                <w:szCs w:val="21"/>
                <w:vertAlign w:val="superscript"/>
              </w:rPr>
              <w:t>[16]</w:t>
            </w:r>
            <w:r>
              <w:rPr>
                <w:rFonts w:cs="Google Sans"/>
                <w:color w:val="1F1F1F"/>
                <w:szCs w:val="21"/>
                <w:vertAlign w:val="superscript"/>
              </w:rPr>
              <w:fldChar w:fldCharType="end"/>
            </w:r>
            <w:r>
              <w:rPr>
                <w:szCs w:val="21"/>
              </w:rPr>
              <w:t>提出了一种基于马尔可夫决策过程（MDP）的抽象模型</w:t>
            </w:r>
            <w:r>
              <w:rPr>
                <w:rFonts w:hint="eastAsia"/>
                <w:szCs w:val="21"/>
              </w:rPr>
              <w:t>。</w:t>
            </w:r>
            <w:r>
              <w:rPr>
                <w:szCs w:val="21"/>
              </w:rPr>
              <w:t>通过将麻将状态抽象为马尔可夫决策过程（MDP），可以有效构建搜索树并推断局面价值</w:t>
            </w:r>
            <w:r>
              <w:rPr>
                <w:rFonts w:hint="eastAsia"/>
                <w:szCs w:val="21"/>
              </w:rPr>
              <w:t>，</w:t>
            </w:r>
            <w:r>
              <w:rPr>
                <w:szCs w:val="21"/>
              </w:rPr>
              <w:t>这为本系统设计“防作弊智能预警”提供了理论依据</w:t>
            </w:r>
            <w:r>
              <w:rPr>
                <w:rFonts w:hint="eastAsia"/>
                <w:szCs w:val="21"/>
              </w:rPr>
              <w:t>，即</w:t>
            </w:r>
            <w:r>
              <w:rPr>
                <w:szCs w:val="21"/>
              </w:rPr>
              <w:t>系统可以在后台计算最优MDP策略，并将玩家的实际操作与之比对。如果玩家在极低概率下连续做出偏离常规逻辑但收益极高的操作（与MDP最优策略出现</w:t>
            </w:r>
            <w:r>
              <w:rPr>
                <w:rFonts w:hint="eastAsia"/>
                <w:szCs w:val="21"/>
              </w:rPr>
              <w:t>较大偏差但取得胜利</w:t>
            </w:r>
            <w:r>
              <w:rPr>
                <w:szCs w:val="21"/>
              </w:rPr>
              <w:t>），系统即可判定其存在作弊嫌疑并触发预警。</w:t>
            </w:r>
          </w:p>
          <w:p w14:paraId="1D7C9D94">
            <w:pPr>
              <w:numPr>
                <w:ilvl w:val="0"/>
                <w:numId w:val="2"/>
              </w:numPr>
              <w:spacing w:line="300" w:lineRule="auto"/>
              <w:outlineLvl w:val="1"/>
              <w:rPr>
                <w:rFonts w:cs="宋体"/>
                <w:b/>
                <w:bCs/>
                <w:sz w:val="24"/>
                <w:szCs w:val="21"/>
              </w:rPr>
            </w:pPr>
            <w:r>
              <w:rPr>
                <w:rFonts w:hint="eastAsia" w:cs="宋体"/>
                <w:b/>
                <w:bCs/>
                <w:sz w:val="24"/>
                <w:szCs w:val="21"/>
              </w:rPr>
              <w:t>初步设计思路</w:t>
            </w:r>
          </w:p>
          <w:p w14:paraId="6DE729CC">
            <w:pPr>
              <w:pStyle w:val="3"/>
              <w:numPr>
                <w:ilvl w:val="0"/>
                <w:numId w:val="5"/>
              </w:numPr>
              <w:spacing w:before="0" w:after="0" w:line="300" w:lineRule="auto"/>
              <w:rPr>
                <w:rFonts w:cs="黑体"/>
                <w:b w:val="0"/>
                <w:bCs w:val="0"/>
                <w:sz w:val="24"/>
                <w:szCs w:val="22"/>
              </w:rPr>
            </w:pPr>
            <w:r>
              <w:rPr>
                <w:rFonts w:hint="eastAsia" w:cs="黑体"/>
                <w:b w:val="0"/>
                <w:bCs w:val="0"/>
                <w:sz w:val="24"/>
                <w:szCs w:val="22"/>
              </w:rPr>
              <w:t>总体设计思路与技术路线</w:t>
            </w:r>
          </w:p>
          <w:p w14:paraId="31D0CB92">
            <w:pPr>
              <w:spacing w:line="300" w:lineRule="auto"/>
              <w:ind w:firstLine="480" w:firstLineChars="200"/>
              <w:rPr>
                <w:rFonts w:cs="Google Sans Text"/>
                <w:color w:val="1F1F1F"/>
                <w:sz w:val="24"/>
                <w:szCs w:val="21"/>
              </w:rPr>
            </w:pPr>
            <w:r>
              <w:rPr>
                <w:rFonts w:cs="Google Sans Text"/>
                <w:color w:val="1F1F1F"/>
                <w:sz w:val="24"/>
                <w:szCs w:val="21"/>
              </w:rPr>
              <w:t>本系统遵循轻量级、高稳定性的设计原则，采用经典的B/S（Browser-Server）架构。核心目标是实现一个稳定运行的四人双打竞技麻将对战平台。</w:t>
            </w:r>
          </w:p>
          <w:p w14:paraId="3613DECA">
            <w:pPr>
              <w:tabs>
                <w:tab w:val="left" w:pos="-840"/>
              </w:tabs>
              <w:spacing w:line="300" w:lineRule="auto"/>
              <w:ind w:firstLine="480" w:firstLineChars="200"/>
              <w:rPr>
                <w:sz w:val="24"/>
                <w:szCs w:val="21"/>
              </w:rPr>
            </w:pPr>
            <w:r>
              <w:rPr>
                <w:rFonts w:cs="Google Sans Text"/>
                <w:color w:val="1F1F1F"/>
                <w:sz w:val="24"/>
                <w:szCs w:val="21"/>
              </w:rPr>
              <w:t>后端（服务端）：采用 Java Spring Boot 框架。Java生态成熟，依托</w:t>
            </w:r>
            <w:r>
              <w:rPr>
                <w:rFonts w:hint="eastAsia" w:cs="Google Sans Text"/>
                <w:color w:val="1F1F1F"/>
                <w:sz w:val="24"/>
                <w:szCs w:val="21"/>
              </w:rPr>
              <w:t>其</w:t>
            </w:r>
            <w:r>
              <w:rPr>
                <w:rFonts w:cs="Google Sans Text"/>
                <w:color w:val="1F1F1F"/>
                <w:sz w:val="24"/>
                <w:szCs w:val="21"/>
              </w:rPr>
              <w:t>强大的并发处理</w:t>
            </w:r>
            <w:r>
              <w:rPr>
                <w:rFonts w:hint="eastAsia" w:cs="Google Sans Text"/>
                <w:color w:val="1F1F1F"/>
                <w:sz w:val="24"/>
                <w:szCs w:val="21"/>
              </w:rPr>
              <w:t>能力</w:t>
            </w:r>
            <w:r>
              <w:rPr>
                <w:rFonts w:cs="Google Sans Text"/>
                <w:color w:val="1F1F1F"/>
                <w:sz w:val="24"/>
                <w:szCs w:val="21"/>
              </w:rPr>
              <w:t>，</w:t>
            </w:r>
            <w:r>
              <w:rPr>
                <w:rFonts w:hint="eastAsia" w:cs="Google Sans Text"/>
                <w:color w:val="1F1F1F"/>
                <w:sz w:val="24"/>
                <w:szCs w:val="21"/>
              </w:rPr>
              <w:t>能</w:t>
            </w:r>
            <w:r>
              <w:rPr>
                <w:rFonts w:cs="Google Sans Text"/>
                <w:color w:val="1F1F1F"/>
                <w:sz w:val="24"/>
                <w:szCs w:val="21"/>
              </w:rPr>
              <w:t>有效</w:t>
            </w:r>
            <w:r>
              <w:rPr>
                <w:rFonts w:hint="eastAsia" w:cs="Google Sans Text"/>
                <w:color w:val="1F1F1F"/>
                <w:sz w:val="24"/>
                <w:szCs w:val="21"/>
              </w:rPr>
              <w:t>支持</w:t>
            </w:r>
            <w:r>
              <w:rPr>
                <w:rFonts w:cs="Google Sans Text"/>
                <w:color w:val="1F1F1F"/>
                <w:sz w:val="24"/>
                <w:szCs w:val="21"/>
              </w:rPr>
              <w:t>麻将</w:t>
            </w:r>
            <w:r>
              <w:rPr>
                <w:rFonts w:hint="eastAsia" w:cs="Google Sans Text"/>
                <w:color w:val="1F1F1F"/>
                <w:sz w:val="24"/>
                <w:szCs w:val="21"/>
              </w:rPr>
              <w:t>的</w:t>
            </w:r>
            <w:r>
              <w:rPr>
                <w:rFonts w:cs="Google Sans Text"/>
                <w:color w:val="1F1F1F"/>
                <w:sz w:val="24"/>
                <w:szCs w:val="21"/>
              </w:rPr>
              <w:t>复杂逻辑运算与多房间并行的高频交互</w:t>
            </w:r>
          </w:p>
          <w:p w14:paraId="39ACB407">
            <w:pPr>
              <w:tabs>
                <w:tab w:val="left" w:pos="-840"/>
              </w:tabs>
              <w:spacing w:line="300" w:lineRule="auto"/>
              <w:ind w:firstLine="480" w:firstLineChars="200"/>
              <w:rPr>
                <w:sz w:val="24"/>
                <w:szCs w:val="21"/>
              </w:rPr>
            </w:pPr>
            <w:r>
              <w:rPr>
                <w:rFonts w:cs="Google Sans Text"/>
                <w:color w:val="1F1F1F"/>
                <w:sz w:val="24"/>
                <w:szCs w:val="21"/>
              </w:rPr>
              <w:t>前端（客户端）：采用 Cocos Creator 引擎。Cocos在2D游戏开发方面表现优异，能够实现流畅的麻将打牌动画和特效</w:t>
            </w:r>
            <w:r>
              <w:rPr>
                <w:rFonts w:hint="eastAsia" w:cs="Google Sans Text"/>
                <w:color w:val="1F1F1F"/>
                <w:sz w:val="24"/>
                <w:szCs w:val="21"/>
              </w:rPr>
              <w:t>，同时</w:t>
            </w:r>
            <w:r>
              <w:rPr>
                <w:rFonts w:cs="Google Sans Text"/>
                <w:color w:val="1F1F1F"/>
                <w:sz w:val="24"/>
                <w:szCs w:val="21"/>
              </w:rPr>
              <w:t>支持跨平台发布，</w:t>
            </w:r>
            <w:r>
              <w:rPr>
                <w:rFonts w:hint="eastAsia" w:cs="Google Sans Text"/>
                <w:color w:val="1F1F1F"/>
                <w:sz w:val="24"/>
                <w:szCs w:val="21"/>
              </w:rPr>
              <w:t>为后续持续优化打好基础</w:t>
            </w:r>
            <w:r>
              <w:rPr>
                <w:rFonts w:cs="Google Sans Text"/>
                <w:color w:val="1F1F1F"/>
                <w:sz w:val="24"/>
                <w:szCs w:val="21"/>
              </w:rPr>
              <w:t>。</w:t>
            </w:r>
          </w:p>
          <w:p w14:paraId="7912D6BB">
            <w:pPr>
              <w:tabs>
                <w:tab w:val="left" w:pos="-840"/>
              </w:tabs>
              <w:spacing w:line="300" w:lineRule="auto"/>
              <w:ind w:firstLine="480" w:firstLineChars="200"/>
              <w:rPr>
                <w:sz w:val="24"/>
                <w:szCs w:val="21"/>
              </w:rPr>
            </w:pPr>
            <w:r>
              <w:rPr>
                <w:rFonts w:cs="Google Sans Text"/>
                <w:color w:val="1F1F1F"/>
                <w:sz w:val="24"/>
                <w:szCs w:val="21"/>
              </w:rPr>
              <w:t>数据库：采用 MySQL。</w:t>
            </w:r>
            <w:r>
              <w:rPr>
                <w:rFonts w:hint="eastAsia" w:cs="Google Sans Text"/>
                <w:color w:val="1F1F1F"/>
                <w:sz w:val="24"/>
                <w:szCs w:val="21"/>
              </w:rPr>
              <w:t>MySQL</w:t>
            </w:r>
            <w:r>
              <w:rPr>
                <w:rFonts w:cs="Google Sans Text"/>
                <w:color w:val="1F1F1F"/>
                <w:sz w:val="24"/>
                <w:szCs w:val="21"/>
              </w:rPr>
              <w:t>用于存储用户信息、对局记录、比赛积分等结构化数据</w:t>
            </w:r>
            <w:r>
              <w:rPr>
                <w:rFonts w:hint="eastAsia" w:cs="Google Sans Text"/>
                <w:color w:val="1F1F1F"/>
                <w:sz w:val="24"/>
                <w:szCs w:val="21"/>
              </w:rPr>
              <w:t>。如果后续有保存比赛回放的需求可以结合Redis以处理实时的牌局临时数据</w:t>
            </w:r>
            <w:r>
              <w:rPr>
                <w:rFonts w:cs="Google Sans Text"/>
                <w:color w:val="1F1F1F"/>
                <w:sz w:val="24"/>
                <w:szCs w:val="21"/>
              </w:rPr>
              <w:t>。</w:t>
            </w:r>
          </w:p>
          <w:p w14:paraId="2046F317">
            <w:pPr>
              <w:tabs>
                <w:tab w:val="left" w:pos="-840"/>
              </w:tabs>
              <w:spacing w:line="300" w:lineRule="auto"/>
              <w:ind w:firstLine="480" w:firstLineChars="200"/>
              <w:rPr>
                <w:sz w:val="24"/>
                <w:szCs w:val="21"/>
              </w:rPr>
            </w:pPr>
            <w:r>
              <w:rPr>
                <w:rFonts w:cs="Google Sans Text"/>
                <w:color w:val="1F1F1F"/>
                <w:sz w:val="24"/>
                <w:szCs w:val="21"/>
              </w:rPr>
              <w:t>通信协议：采用 WebSocket实现客户端与服务器的全双工通信，保证发牌、出牌、吃碰杠等操作的实时同步。</w:t>
            </w:r>
          </w:p>
          <w:p w14:paraId="1791E348">
            <w:pPr>
              <w:pStyle w:val="3"/>
              <w:numPr>
                <w:ilvl w:val="0"/>
                <w:numId w:val="5"/>
              </w:numPr>
              <w:spacing w:before="0" w:after="0" w:line="300" w:lineRule="auto"/>
              <w:rPr>
                <w:rFonts w:cs="Google Sans Text"/>
                <w:color w:val="1F1F1F"/>
                <w:sz w:val="24"/>
                <w:szCs w:val="21"/>
              </w:rPr>
            </w:pPr>
            <w:r>
              <w:rPr>
                <w:rFonts w:hint="eastAsia" w:cs="黑体"/>
                <w:b w:val="0"/>
                <w:bCs w:val="0"/>
                <w:sz w:val="24"/>
                <w:szCs w:val="22"/>
              </w:rPr>
              <w:t>功能模块划分</w:t>
            </w:r>
          </w:p>
          <w:p w14:paraId="05A61374">
            <w:pPr>
              <w:spacing w:line="300" w:lineRule="auto"/>
              <w:ind w:firstLine="480" w:firstLineChars="200"/>
              <w:rPr>
                <w:rFonts w:cs="Google Sans Text"/>
                <w:color w:val="1F1F1F"/>
                <w:sz w:val="24"/>
                <w:szCs w:val="21"/>
              </w:rPr>
            </w:pPr>
            <w:r>
              <w:rPr>
                <w:rFonts w:hint="eastAsia" w:cs="Google Sans Text"/>
                <w:color w:val="1F1F1F"/>
                <w:sz w:val="24"/>
                <w:szCs w:val="21"/>
              </w:rPr>
              <w:t>系统功能将按照核心实现与扩展功能进行分级规划，优先确保核心对战功能的完整性和稳定性。核心功能涵盖用户大厅、四川双打对战及规则判定三大模块。在用户与大厅方面，除了实现基础的注册登录与信息管理外，系统还支持房间的创建、加入与列表展示，并专门针对双打玩法设计了选座与</w:t>
            </w:r>
            <w:r>
              <w:rPr>
                <w:rFonts w:hint="eastAsia" w:cs="Google Sans Text"/>
                <w:color w:val="1F1F1F"/>
                <w:sz w:val="24"/>
                <w:szCs w:val="21"/>
                <w:lang w:eastAsia="zh-CN"/>
              </w:rPr>
              <w:t>“</w:t>
            </w:r>
            <w:r>
              <w:rPr>
                <w:rFonts w:hint="eastAsia" w:cs="Google Sans Text"/>
                <w:color w:val="1F1F1F"/>
                <w:sz w:val="24"/>
                <w:szCs w:val="21"/>
              </w:rPr>
              <w:t>2v2</w:t>
            </w:r>
            <w:r>
              <w:rPr>
                <w:rFonts w:hint="eastAsia" w:cs="Google Sans Text"/>
                <w:color w:val="1F1F1F"/>
                <w:sz w:val="24"/>
                <w:szCs w:val="21"/>
                <w:lang w:eastAsia="zh-CN"/>
              </w:rPr>
              <w:t>”</w:t>
            </w:r>
            <w:bookmarkStart w:id="18" w:name="_GoBack"/>
            <w:bookmarkEnd w:id="18"/>
            <w:r>
              <w:rPr>
                <w:rFonts w:hint="eastAsia" w:cs="Google Sans Text"/>
                <w:color w:val="1F1F1F"/>
                <w:sz w:val="24"/>
                <w:szCs w:val="21"/>
              </w:rPr>
              <w:t>队伍划分机制。对战模块则构成了游戏的基础运行流程，包含洗牌、发牌、摸打循环及倒计时，同时深度还原了定缺、血战到底、刮风下雨等四川麻将特色规则。单局结束后，系统会根据“底分加番数”计算个人得分，并自动统计队伍总分以判定最终胜负。</w:t>
            </w:r>
          </w:p>
          <w:p w14:paraId="3754CFBC">
            <w:pPr>
              <w:spacing w:line="300" w:lineRule="auto"/>
              <w:ind w:firstLine="480" w:firstLineChars="200"/>
              <w:rPr>
                <w:rFonts w:cs="Google Sans Text"/>
                <w:color w:val="1F1F1F"/>
                <w:sz w:val="24"/>
                <w:szCs w:val="21"/>
              </w:rPr>
            </w:pPr>
            <w:r>
              <w:rPr>
                <w:rFonts w:hint="eastAsia" w:cs="Google Sans Text"/>
                <w:color w:val="1F1F1F"/>
                <w:sz w:val="24"/>
                <w:szCs w:val="21"/>
              </w:rPr>
              <w:t>在核心功能完善后，系统将视开发进度逐步引入多项进阶扩展功能以提升整体亮点。赛事方面，计划开发高级赛事管理模块，支持复杂的淘汰赛程与瑞士制循环赛算法（初期可简化为积分排行榜呈现）。游戏玩法上，将开放自定义游戏规则功能，允许玩家在创建房间时自由设定胡牌和杠牌的得分标准。同时，系统拟采用Redis数据库实时记录比赛数据，从而实现赛事回放与多人实时观战功能。为优化对局体验，系统还将引入AI托管与人机模式，不仅能在玩家掉线或超时未操作时自动接管，还允许在建房时主动添加电脑AI。最后，为了维护游戏公平性，系统计划基于马尔可夫决策过程模型（MDP）构建防作弊系统，通过对比分析玩家实际出牌与理论最佳出牌的差异，智能识别并预警潜在的作弊行为。</w:t>
            </w:r>
          </w:p>
          <w:p w14:paraId="312A15BA">
            <w:pPr>
              <w:numPr>
                <w:ilvl w:val="0"/>
                <w:numId w:val="2"/>
              </w:numPr>
              <w:spacing w:line="300" w:lineRule="auto"/>
              <w:outlineLvl w:val="1"/>
              <w:rPr>
                <w:rFonts w:cs="宋体"/>
                <w:b/>
                <w:bCs/>
                <w:sz w:val="24"/>
                <w:szCs w:val="21"/>
              </w:rPr>
            </w:pPr>
            <w:r>
              <w:rPr>
                <w:rFonts w:hint="eastAsia" w:cs="宋体"/>
                <w:b/>
                <w:bCs/>
                <w:sz w:val="24"/>
                <w:szCs w:val="21"/>
              </w:rPr>
              <w:t>进度计划</w:t>
            </w:r>
          </w:p>
          <w:p w14:paraId="234A47AD">
            <w:pPr>
              <w:spacing w:line="300" w:lineRule="auto"/>
              <w:ind w:firstLine="480" w:firstLineChars="200"/>
              <w:rPr>
                <w:rFonts w:cs="Google Sans Text"/>
                <w:color w:val="1F1F1F"/>
                <w:sz w:val="24"/>
                <w:szCs w:val="21"/>
              </w:rPr>
            </w:pPr>
            <w:r>
              <w:rPr>
                <w:rFonts w:hint="eastAsia" w:cs="Google Sans Text"/>
                <w:color w:val="1F1F1F"/>
                <w:sz w:val="24"/>
                <w:szCs w:val="21"/>
              </w:rPr>
              <w:t>第1至2周主要进行需求分析与规则建模。此阶段将系统梳理四川双打麻将的详细规则逻辑，并结合现有相关论文，初步设计系统的功能模块与具体实现方法。</w:t>
            </w:r>
          </w:p>
          <w:p w14:paraId="7BA7DFD6">
            <w:pPr>
              <w:spacing w:line="300" w:lineRule="auto"/>
              <w:ind w:firstLine="480" w:firstLineChars="200"/>
              <w:rPr>
                <w:rFonts w:cs="Google Sans Text"/>
                <w:color w:val="1F1F1F"/>
                <w:sz w:val="24"/>
                <w:szCs w:val="21"/>
              </w:rPr>
            </w:pPr>
            <w:r>
              <w:rPr>
                <w:rFonts w:hint="eastAsia" w:cs="Google Sans Text"/>
                <w:color w:val="1F1F1F"/>
                <w:sz w:val="24"/>
                <w:szCs w:val="21"/>
              </w:rPr>
              <w:t>第3周将集中精力完成与课题相关的外文文献翻译工作，为后续研发提供理论和外文参考。</w:t>
            </w:r>
          </w:p>
          <w:p w14:paraId="7ABB94CC">
            <w:pPr>
              <w:spacing w:line="300" w:lineRule="auto"/>
              <w:ind w:firstLine="480" w:firstLineChars="200"/>
              <w:rPr>
                <w:rFonts w:cs="Google Sans Text"/>
                <w:color w:val="1F1F1F"/>
                <w:sz w:val="24"/>
                <w:szCs w:val="21"/>
              </w:rPr>
            </w:pPr>
            <w:r>
              <w:rPr>
                <w:rFonts w:hint="eastAsia" w:cs="Google Sans Text"/>
                <w:color w:val="1F1F1F"/>
                <w:sz w:val="24"/>
                <w:szCs w:val="21"/>
              </w:rPr>
              <w:t>第4至</w:t>
            </w:r>
            <w:r>
              <w:rPr>
                <w:rFonts w:hint="eastAsia" w:cs="Google Sans Text"/>
                <w:color w:val="1F1F1F"/>
                <w:sz w:val="24"/>
                <w:szCs w:val="21"/>
                <w:lang w:val="en-US" w:eastAsia="zh-CN"/>
              </w:rPr>
              <w:t>5</w:t>
            </w:r>
            <w:r>
              <w:rPr>
                <w:rFonts w:hint="eastAsia" w:cs="Google Sans Text"/>
                <w:color w:val="1F1F1F"/>
                <w:sz w:val="24"/>
                <w:szCs w:val="21"/>
              </w:rPr>
              <w:t>周进入后端核心开发阶段。该阶段首先定义前后端WebSocket通信协议格式，随后搭建Spring Boot系统架构并配置MySQL数据库连接。在此基础上，重点实现包括洗牌、发牌、胡牌判定及番数计算在内的麻将核心算法类，并完成房间的创建、加入与解散等管理逻辑。</w:t>
            </w:r>
          </w:p>
          <w:p w14:paraId="5730542A">
            <w:pPr>
              <w:spacing w:line="300" w:lineRule="auto"/>
              <w:ind w:firstLine="480" w:firstLineChars="200"/>
              <w:rPr>
                <w:rFonts w:cs="Google Sans Text"/>
                <w:color w:val="1F1F1F"/>
                <w:sz w:val="24"/>
                <w:szCs w:val="21"/>
              </w:rPr>
            </w:pPr>
            <w:r>
              <w:rPr>
                <w:rFonts w:hint="eastAsia" w:cs="Google Sans Text"/>
                <w:color w:val="1F1F1F"/>
                <w:sz w:val="24"/>
                <w:szCs w:val="21"/>
              </w:rPr>
              <w:t>第</w:t>
            </w:r>
            <w:r>
              <w:rPr>
                <w:rFonts w:hint="eastAsia" w:cs="Google Sans Text"/>
                <w:color w:val="1F1F1F"/>
                <w:sz w:val="24"/>
                <w:szCs w:val="21"/>
                <w:lang w:val="en-US" w:eastAsia="zh-CN"/>
              </w:rPr>
              <w:t>6</w:t>
            </w:r>
            <w:r>
              <w:rPr>
                <w:rFonts w:hint="eastAsia" w:cs="Google Sans Text"/>
                <w:color w:val="1F1F1F"/>
                <w:sz w:val="24"/>
                <w:szCs w:val="21"/>
              </w:rPr>
              <w:t>至</w:t>
            </w:r>
            <w:r>
              <w:rPr>
                <w:rFonts w:hint="eastAsia" w:cs="Google Sans Text"/>
                <w:color w:val="1F1F1F"/>
                <w:sz w:val="24"/>
                <w:szCs w:val="21"/>
                <w:lang w:val="en-US" w:eastAsia="zh-CN"/>
              </w:rPr>
              <w:t>8</w:t>
            </w:r>
            <w:r>
              <w:rPr>
                <w:rFonts w:hint="eastAsia" w:cs="Google Sans Text"/>
                <w:color w:val="1F1F1F"/>
                <w:sz w:val="24"/>
                <w:szCs w:val="21"/>
              </w:rPr>
              <w:t>周转入前端界面与交互开发。将利用Cocos Creator搭建项目，制作麻将牌、牌桌及各项UI素材；期间实现核心的打牌交互操作与视觉特效，并全面对接后端WebSocket，确保游戏状态同步与动画展示的流畅准确。</w:t>
            </w:r>
          </w:p>
          <w:p w14:paraId="74EC913F">
            <w:pPr>
              <w:spacing w:line="300" w:lineRule="auto"/>
              <w:ind w:firstLine="480" w:firstLineChars="200"/>
              <w:rPr>
                <w:rFonts w:cs="Google Sans Text"/>
                <w:color w:val="1F1F1F"/>
                <w:sz w:val="24"/>
                <w:szCs w:val="21"/>
              </w:rPr>
            </w:pPr>
            <w:r>
              <w:rPr>
                <w:rFonts w:hint="eastAsia" w:cs="Google Sans Text"/>
                <w:color w:val="1F1F1F"/>
                <w:sz w:val="24"/>
                <w:szCs w:val="21"/>
              </w:rPr>
              <w:t>第</w:t>
            </w:r>
            <w:r>
              <w:rPr>
                <w:rFonts w:hint="eastAsia" w:cs="Google Sans Text"/>
                <w:color w:val="1F1F1F"/>
                <w:sz w:val="24"/>
                <w:szCs w:val="21"/>
                <w:lang w:val="en-US" w:eastAsia="zh-CN"/>
              </w:rPr>
              <w:t>9</w:t>
            </w:r>
            <w:r>
              <w:rPr>
                <w:rFonts w:hint="eastAsia" w:cs="Google Sans Text"/>
                <w:color w:val="1F1F1F"/>
                <w:sz w:val="24"/>
                <w:szCs w:val="21"/>
              </w:rPr>
              <w:t>至1</w:t>
            </w:r>
            <w:r>
              <w:rPr>
                <w:rFonts w:hint="eastAsia" w:cs="Google Sans Text"/>
                <w:color w:val="1F1F1F"/>
                <w:sz w:val="24"/>
                <w:szCs w:val="21"/>
                <w:lang w:val="en-US" w:eastAsia="zh-CN"/>
              </w:rPr>
              <w:t>1</w:t>
            </w:r>
            <w:r>
              <w:rPr>
                <w:rFonts w:hint="eastAsia" w:cs="Google Sans Text"/>
                <w:color w:val="1F1F1F"/>
                <w:sz w:val="24"/>
                <w:szCs w:val="21"/>
              </w:rPr>
              <w:t>周为系统测试、优化与扩展功能开发期。主要开展前后端联合测试，重点验证“定缺”、“血战到底”等特色对战流程的通畅性。同时，将根据测试反馈持续优化前端UI界面，并逐步推进各项进阶扩展功能的开发。</w:t>
            </w:r>
          </w:p>
          <w:p w14:paraId="729F216A">
            <w:pPr>
              <w:spacing w:line="300" w:lineRule="auto"/>
              <w:ind w:firstLine="480" w:firstLineChars="200"/>
              <w:rPr>
                <w:rFonts w:cs="Google Sans Text"/>
                <w:color w:val="1F1F1F"/>
                <w:sz w:val="24"/>
                <w:szCs w:val="21"/>
              </w:rPr>
            </w:pPr>
            <w:r>
              <w:rPr>
                <w:rFonts w:hint="eastAsia" w:cs="Google Sans Text"/>
                <w:color w:val="1F1F1F"/>
                <w:sz w:val="24"/>
                <w:szCs w:val="21"/>
              </w:rPr>
              <w:t>第1</w:t>
            </w:r>
            <w:r>
              <w:rPr>
                <w:rFonts w:hint="eastAsia" w:cs="Google Sans Text"/>
                <w:color w:val="1F1F1F"/>
                <w:sz w:val="24"/>
                <w:szCs w:val="21"/>
                <w:lang w:val="en-US" w:eastAsia="zh-CN"/>
              </w:rPr>
              <w:t>2</w:t>
            </w:r>
            <w:r>
              <w:rPr>
                <w:rFonts w:hint="eastAsia" w:cs="Google Sans Text"/>
                <w:color w:val="1F1F1F"/>
                <w:sz w:val="24"/>
                <w:szCs w:val="21"/>
              </w:rPr>
              <w:t>至1</w:t>
            </w:r>
            <w:r>
              <w:rPr>
                <w:rFonts w:hint="eastAsia" w:cs="Google Sans Text"/>
                <w:color w:val="1F1F1F"/>
                <w:sz w:val="24"/>
                <w:szCs w:val="21"/>
                <w:lang w:val="en-US" w:eastAsia="zh-CN"/>
              </w:rPr>
              <w:t>4</w:t>
            </w:r>
            <w:r>
              <w:rPr>
                <w:rFonts w:hint="eastAsia" w:cs="Google Sans Text"/>
                <w:color w:val="1F1F1F"/>
                <w:sz w:val="24"/>
                <w:szCs w:val="21"/>
              </w:rPr>
              <w:t>周进入最后的论文撰写与答辩准备阶段。集中整理前期的系统设计文档与各项测试数据，全面完成毕业设计论文的撰写，并制作和完善答辩所需的PPT等相关资料。</w:t>
            </w:r>
          </w:p>
          <w:p w14:paraId="01870D4D">
            <w:pPr>
              <w:numPr>
                <w:ilvl w:val="0"/>
                <w:numId w:val="2"/>
              </w:numPr>
              <w:spacing w:line="300" w:lineRule="auto"/>
              <w:outlineLvl w:val="1"/>
              <w:rPr>
                <w:rFonts w:cs="宋体"/>
                <w:b/>
                <w:bCs/>
                <w:sz w:val="24"/>
                <w:szCs w:val="21"/>
              </w:rPr>
            </w:pPr>
            <w:r>
              <w:rPr>
                <w:rFonts w:hint="eastAsia" w:cs="宋体"/>
                <w:b/>
                <w:bCs/>
                <w:sz w:val="24"/>
                <w:szCs w:val="21"/>
              </w:rPr>
              <w:t>参考文献</w:t>
            </w:r>
          </w:p>
          <w:p w14:paraId="6CB8E83A">
            <w:pPr>
              <w:numPr>
                <w:ilvl w:val="0"/>
                <w:numId w:val="6"/>
              </w:numPr>
              <w:spacing w:line="300" w:lineRule="auto"/>
              <w:rPr>
                <w:rFonts w:cs="Arial"/>
                <w:szCs w:val="21"/>
              </w:rPr>
            </w:pPr>
            <w:bookmarkStart w:id="0" w:name="_Ref25303"/>
            <w:r>
              <w:rPr>
                <w:rFonts w:hint="eastAsia" w:cs="Arial"/>
                <w:szCs w:val="21"/>
              </w:rPr>
              <w:t>彭丽蓉, 赵海璐, 甘春晏. 一种大众麻将计算机博弈的胡牌方法研究[J]. 重庆理工大学学报(自然科学), 2021, 35(12): 127-133.</w:t>
            </w:r>
            <w:bookmarkEnd w:id="0"/>
          </w:p>
          <w:p w14:paraId="5687E8F6">
            <w:pPr>
              <w:numPr>
                <w:ilvl w:val="0"/>
                <w:numId w:val="6"/>
              </w:numPr>
              <w:spacing w:line="300" w:lineRule="auto"/>
              <w:rPr>
                <w:rFonts w:cs="Arial"/>
                <w:szCs w:val="21"/>
              </w:rPr>
            </w:pPr>
            <w:bookmarkStart w:id="1" w:name="_Ref25558"/>
            <w:r>
              <w:rPr>
                <w:rFonts w:hint="eastAsia" w:cs="Arial"/>
                <w:szCs w:val="21"/>
              </w:rPr>
              <w:t>Yan Xueqing, Yongming Li. A Novel Discrete Differential Evolution with Varying Variables for the Deficiency Number of Mahjong Hand[J]. Mathematics, 2023, 11(9): 1-21.</w:t>
            </w:r>
            <w:bookmarkEnd w:id="1"/>
          </w:p>
          <w:p w14:paraId="2BCC425F">
            <w:pPr>
              <w:numPr>
                <w:ilvl w:val="0"/>
                <w:numId w:val="6"/>
              </w:numPr>
              <w:spacing w:line="300" w:lineRule="auto"/>
              <w:rPr>
                <w:rFonts w:cs="Arial"/>
                <w:szCs w:val="21"/>
              </w:rPr>
            </w:pPr>
            <w:bookmarkStart w:id="2" w:name="_Ref25597"/>
            <w:r>
              <w:rPr>
                <w:rFonts w:hint="eastAsia" w:cs="Arial"/>
                <w:szCs w:val="21"/>
              </w:rPr>
              <w:t>Yan Xueqing, Li Yongming, Li Sanjiang. A fast algorithm for computing the deficiency number of a Mahjong hand[J]. Chinese Journal of Electronics, 2024, 33(6): 1383-1398.</w:t>
            </w:r>
            <w:bookmarkEnd w:id="2"/>
          </w:p>
          <w:p w14:paraId="386A28A5">
            <w:pPr>
              <w:numPr>
                <w:ilvl w:val="0"/>
                <w:numId w:val="6"/>
              </w:numPr>
              <w:spacing w:line="300" w:lineRule="auto"/>
              <w:rPr>
                <w:rFonts w:cs="Arial"/>
                <w:szCs w:val="21"/>
              </w:rPr>
            </w:pPr>
            <w:bookmarkStart w:id="3" w:name="_Ref25836"/>
            <w:r>
              <w:rPr>
                <w:rFonts w:hint="eastAsia" w:cs="Arial"/>
                <w:szCs w:val="21"/>
              </w:rPr>
              <w:t>Joshi pavan kumar. Redis cache optimization for payment gateways in the cloud[J]. International Journal of Emerging Trends in Computer Science and Information Technology, 2023, 4(2): 28-36.</w:t>
            </w:r>
            <w:bookmarkEnd w:id="3"/>
          </w:p>
          <w:p w14:paraId="2FD9F1B1">
            <w:pPr>
              <w:numPr>
                <w:ilvl w:val="0"/>
                <w:numId w:val="6"/>
              </w:numPr>
              <w:spacing w:line="300" w:lineRule="auto"/>
              <w:rPr>
                <w:rFonts w:cs="Arial"/>
                <w:szCs w:val="21"/>
              </w:rPr>
            </w:pPr>
            <w:bookmarkStart w:id="4" w:name="_Ref25976"/>
            <w:r>
              <w:rPr>
                <w:rFonts w:hint="eastAsia" w:cs="Arial"/>
                <w:szCs w:val="21"/>
              </w:rPr>
              <w:t>徐子怡, 林富生, 宋志峰. 基于QT的武汉麻将游戏起牌设计[J]. 现代信息科技, 2023, 7(23): 83-88.</w:t>
            </w:r>
            <w:bookmarkEnd w:id="4"/>
          </w:p>
          <w:p w14:paraId="138DE325">
            <w:pPr>
              <w:numPr>
                <w:ilvl w:val="0"/>
                <w:numId w:val="6"/>
              </w:numPr>
              <w:spacing w:line="300" w:lineRule="auto"/>
              <w:rPr>
                <w:rFonts w:cs="Arial"/>
                <w:szCs w:val="21"/>
              </w:rPr>
            </w:pPr>
            <w:bookmarkStart w:id="5" w:name="_Ref26005"/>
            <w:r>
              <w:rPr>
                <w:rFonts w:hint="eastAsia" w:cs="Arial"/>
                <w:szCs w:val="21"/>
              </w:rPr>
              <w:t>刘皎. 基于Cocos2d-x引擎的麻将游戏设计[J]. 微型电脑应用, 2019, 35(12): 5-9.</w:t>
            </w:r>
            <w:bookmarkEnd w:id="5"/>
          </w:p>
          <w:p w14:paraId="7D227F1E">
            <w:pPr>
              <w:numPr>
                <w:ilvl w:val="0"/>
                <w:numId w:val="6"/>
              </w:numPr>
              <w:spacing w:line="300" w:lineRule="auto"/>
              <w:rPr>
                <w:rFonts w:cs="Arial"/>
                <w:szCs w:val="21"/>
              </w:rPr>
            </w:pPr>
            <w:bookmarkStart w:id="6" w:name="_Ref14626"/>
            <w:r>
              <w:rPr>
                <w:rFonts w:hint="eastAsia" w:cs="Arial"/>
                <w:szCs w:val="21"/>
              </w:rPr>
              <w:t>徐智勇, 戴祖旭. 基于WebSocket协议的消息安全推送系统设计与实现[J]. 武汉工程大学学报, 2024, 46(03): 310-316.</w:t>
            </w:r>
            <w:bookmarkEnd w:id="6"/>
          </w:p>
          <w:p w14:paraId="0BA02568">
            <w:pPr>
              <w:numPr>
                <w:ilvl w:val="0"/>
                <w:numId w:val="6"/>
              </w:numPr>
              <w:spacing w:line="300" w:lineRule="auto"/>
              <w:rPr>
                <w:rFonts w:cs="Arial"/>
                <w:szCs w:val="21"/>
              </w:rPr>
            </w:pPr>
            <w:bookmarkStart w:id="7" w:name="_Ref26116"/>
            <w:bookmarkStart w:id="8" w:name="_Ref26146"/>
            <w:r>
              <w:rPr>
                <w:rFonts w:hint="eastAsia" w:cs="Arial"/>
                <w:szCs w:val="21"/>
              </w:rPr>
              <w:t>李霞丽, 王昭琦, 刘博. 麻将博弈AI构建方法综述[J]. 智能系统学报, 2023, 18(06): 1143-1155.</w:t>
            </w:r>
            <w:bookmarkEnd w:id="7"/>
          </w:p>
          <w:p w14:paraId="36CBEB0C">
            <w:pPr>
              <w:numPr>
                <w:ilvl w:val="0"/>
                <w:numId w:val="6"/>
              </w:numPr>
              <w:spacing w:line="300" w:lineRule="auto"/>
              <w:rPr>
                <w:rFonts w:cs="Arial"/>
                <w:szCs w:val="21"/>
              </w:rPr>
            </w:pPr>
            <w:bookmarkStart w:id="9" w:name="_Ref26792"/>
            <w:r>
              <w:rPr>
                <w:rFonts w:hint="eastAsia" w:cs="Arial"/>
                <w:szCs w:val="21"/>
              </w:rPr>
              <w:t>雷捷维, 王嘉旸, 任航. 基于Expectimax搜索与Double DQN的非完备信息博弈算法[J]. 计算机工程, 2021, 47(03): 304-310.</w:t>
            </w:r>
            <w:bookmarkEnd w:id="8"/>
            <w:bookmarkEnd w:id="9"/>
          </w:p>
          <w:p w14:paraId="2E677652">
            <w:pPr>
              <w:numPr>
                <w:ilvl w:val="0"/>
                <w:numId w:val="6"/>
              </w:numPr>
              <w:spacing w:line="300" w:lineRule="auto"/>
              <w:rPr>
                <w:rFonts w:cs="Arial"/>
                <w:szCs w:val="21"/>
              </w:rPr>
            </w:pPr>
            <w:bookmarkStart w:id="10" w:name="_Ref26254"/>
            <w:bookmarkStart w:id="11" w:name="_Ref26191"/>
            <w:r>
              <w:rPr>
                <w:rFonts w:hint="eastAsia" w:cs="Arial"/>
                <w:szCs w:val="21"/>
              </w:rPr>
              <w:t>王亚杰, 乔继林, 梁凯. 结合先验知识与蒙特卡罗模拟的麻将博弈研究[J]. 智能系统学报, 2022, 17(01): 69-78.</w:t>
            </w:r>
          </w:p>
          <w:p w14:paraId="314C0411">
            <w:pPr>
              <w:numPr>
                <w:ilvl w:val="0"/>
                <w:numId w:val="6"/>
              </w:numPr>
              <w:spacing w:line="300" w:lineRule="auto"/>
              <w:rPr>
                <w:rFonts w:cs="Arial"/>
                <w:szCs w:val="21"/>
              </w:rPr>
            </w:pPr>
            <w:bookmarkStart w:id="12" w:name="_Ref23755"/>
            <w:r>
              <w:rPr>
                <w:rFonts w:hint="eastAsia" w:cs="Arial"/>
                <w:szCs w:val="21"/>
              </w:rPr>
              <w:t>Chen jr-chang, tang shih-chieh, wu i-chen. Monte-Carlo simulation for Mahjong[J]. Journal of Information Science &amp; Engineering, 2022, 38(4): 775-790.</w:t>
            </w:r>
            <w:bookmarkEnd w:id="10"/>
            <w:bookmarkEnd w:id="12"/>
          </w:p>
          <w:p w14:paraId="2FEB7976">
            <w:pPr>
              <w:numPr>
                <w:ilvl w:val="0"/>
                <w:numId w:val="6"/>
              </w:numPr>
              <w:spacing w:line="300" w:lineRule="auto"/>
              <w:rPr>
                <w:rFonts w:cs="Arial"/>
                <w:szCs w:val="21"/>
              </w:rPr>
            </w:pPr>
            <w:bookmarkStart w:id="13" w:name="_Ref26962"/>
            <w:r>
              <w:rPr>
                <w:rFonts w:hint="eastAsia" w:cs="Arial"/>
                <w:szCs w:val="21"/>
              </w:rPr>
              <w:t>王世鹏, 王亚杰, 吴燕燕. 结合PPO和蒙特卡洛树搜索的斗地主博弈模型[J]. 重庆理工大学学报(自然科学), 2025, 39(08): 126-133.</w:t>
            </w:r>
            <w:bookmarkEnd w:id="13"/>
          </w:p>
          <w:p w14:paraId="007C20B5">
            <w:pPr>
              <w:numPr>
                <w:ilvl w:val="0"/>
                <w:numId w:val="6"/>
              </w:numPr>
              <w:spacing w:line="300" w:lineRule="auto"/>
              <w:rPr>
                <w:rFonts w:cs="Arial"/>
                <w:szCs w:val="21"/>
              </w:rPr>
            </w:pPr>
            <w:bookmarkStart w:id="14" w:name="_Ref26985"/>
            <w:r>
              <w:rPr>
                <w:rFonts w:hint="eastAsia" w:cs="Arial"/>
                <w:szCs w:val="21"/>
              </w:rPr>
              <w:t>李淑琴, 李奕. 一种多重优先经验回放的麻将游戏数据利用方法[J]. 重庆理工大学学报(自然科学), 2022, 36(12): 162-169.</w:t>
            </w:r>
            <w:bookmarkEnd w:id="14"/>
          </w:p>
          <w:bookmarkEnd w:id="11"/>
          <w:p w14:paraId="0894E84D">
            <w:pPr>
              <w:numPr>
                <w:ilvl w:val="0"/>
                <w:numId w:val="6"/>
              </w:numPr>
              <w:spacing w:line="300" w:lineRule="auto"/>
              <w:rPr>
                <w:rFonts w:cs="Arial"/>
                <w:szCs w:val="21"/>
              </w:rPr>
            </w:pPr>
            <w:bookmarkStart w:id="15" w:name="_Ref27008"/>
            <w:r>
              <w:rPr>
                <w:rFonts w:hint="eastAsia" w:cs="Arial"/>
                <w:szCs w:val="21"/>
              </w:rPr>
              <w:t>Yan Mingzhu, et al. An attention mechanism-based segmented optimization discard method for public mahjong gameplay[C]. 2024 8th Asian Conference on Artificial Intelligence Technology (ACAIT), 2024</w:t>
            </w:r>
            <w:r>
              <w:rPr>
                <w:rFonts w:hint="eastAsia" w:cs="Arial"/>
                <w:szCs w:val="21"/>
                <w:lang w:val="en-US" w:eastAsia="zh-CN"/>
              </w:rPr>
              <w:t>, 334-340</w:t>
            </w:r>
            <w:r>
              <w:rPr>
                <w:rFonts w:hint="eastAsia" w:cs="Arial"/>
                <w:szCs w:val="21"/>
              </w:rPr>
              <w:t>.</w:t>
            </w:r>
            <w:bookmarkEnd w:id="15"/>
          </w:p>
          <w:p w14:paraId="514C1E04">
            <w:pPr>
              <w:numPr>
                <w:ilvl w:val="0"/>
                <w:numId w:val="6"/>
              </w:numPr>
              <w:spacing w:line="300" w:lineRule="auto"/>
              <w:rPr>
                <w:szCs w:val="21"/>
              </w:rPr>
            </w:pPr>
            <w:bookmarkStart w:id="16" w:name="_Ref27031"/>
            <w:r>
              <w:rPr>
                <w:rFonts w:hint="eastAsia" w:cs="Arial"/>
                <w:szCs w:val="21"/>
              </w:rPr>
              <w:t xml:space="preserve">Pateria Shubham, et al. Hierarchical reinforcement learning: A comprehensive survey[J]. ACM </w:t>
            </w:r>
            <w:r>
              <w:rPr>
                <w:rFonts w:hint="eastAsia"/>
                <w:szCs w:val="21"/>
              </w:rPr>
              <w:t>Computing Surveys, 2021, 54(5): 1-35.</w:t>
            </w:r>
            <w:bookmarkEnd w:id="16"/>
          </w:p>
          <w:p w14:paraId="299200B5">
            <w:pPr>
              <w:numPr>
                <w:ilvl w:val="0"/>
                <w:numId w:val="6"/>
              </w:numPr>
              <w:spacing w:line="300" w:lineRule="auto"/>
              <w:rPr>
                <w:szCs w:val="21"/>
              </w:rPr>
            </w:pPr>
            <w:bookmarkStart w:id="17" w:name="_Ref27050"/>
            <w:r>
              <w:rPr>
                <w:rFonts w:hint="eastAsia"/>
                <w:szCs w:val="21"/>
              </w:rPr>
              <w:t>Kurita Moyuru, HOKI Kunihito. Method for constructing artificial intelligence player with abstractions to Markov decision processes in multiplayer game of mahjong[J]. IEEE Transactions on Games, 2021, 13(1): 99-110.</w:t>
            </w:r>
            <w:bookmarkEnd w:id="17"/>
          </w:p>
          <w:p w14:paraId="24A9076A">
            <w:pPr>
              <w:shd w:val="clear" w:color="auto" w:fill="FFFFFF"/>
              <w:autoSpaceDE w:val="0"/>
              <w:autoSpaceDN w:val="0"/>
              <w:adjustRightInd w:val="0"/>
              <w:rPr>
                <w:szCs w:val="21"/>
                <w:lang w:bidi="ar"/>
              </w:rPr>
            </w:pPr>
          </w:p>
          <w:p w14:paraId="1E8D29B0">
            <w:pPr>
              <w:shd w:val="clear" w:color="auto" w:fill="FFFFFF"/>
              <w:autoSpaceDE w:val="0"/>
              <w:autoSpaceDN w:val="0"/>
              <w:adjustRightInd w:val="0"/>
              <w:rPr>
                <w:rFonts w:hint="eastAsia"/>
                <w:szCs w:val="21"/>
                <w:lang w:bidi="ar"/>
              </w:rPr>
            </w:pPr>
          </w:p>
          <w:p w14:paraId="2F8F97E2">
            <w:pPr>
              <w:shd w:val="clear" w:color="auto" w:fill="FFFFFF"/>
              <w:autoSpaceDE w:val="0"/>
              <w:autoSpaceDN w:val="0"/>
              <w:adjustRightInd w:val="0"/>
              <w:rPr>
                <w:szCs w:val="21"/>
                <w:lang w:bidi="ar"/>
              </w:rPr>
            </w:pPr>
          </w:p>
          <w:p w14:paraId="2C0EDDB0">
            <w:pPr>
              <w:shd w:val="clear" w:color="auto" w:fill="FFFFFF"/>
              <w:autoSpaceDE w:val="0"/>
              <w:autoSpaceDN w:val="0"/>
              <w:adjustRightInd w:val="0"/>
              <w:rPr>
                <w:szCs w:val="21"/>
                <w:lang w:bidi="ar"/>
              </w:rPr>
            </w:pPr>
          </w:p>
          <w:p w14:paraId="73DC1642">
            <w:pPr>
              <w:shd w:val="clear" w:color="auto" w:fill="FFFFFF"/>
              <w:autoSpaceDE w:val="0"/>
              <w:autoSpaceDN w:val="0"/>
              <w:adjustRightInd w:val="0"/>
              <w:rPr>
                <w:rFonts w:hint="eastAsia"/>
                <w:szCs w:val="21"/>
                <w:lang w:bidi="ar"/>
              </w:rPr>
            </w:pPr>
          </w:p>
          <w:p w14:paraId="3D0B4E58">
            <w:pPr>
              <w:shd w:val="clear" w:color="auto" w:fill="FFFFFF"/>
              <w:autoSpaceDE w:val="0"/>
              <w:autoSpaceDN w:val="0"/>
              <w:adjustRightInd w:val="0"/>
              <w:rPr>
                <w:szCs w:val="21"/>
                <w:lang w:bidi="ar"/>
              </w:rPr>
            </w:pPr>
          </w:p>
        </w:tc>
      </w:tr>
      <w:tr w14:paraId="66F8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808" w:type="dxa"/>
            <w:vAlign w:val="center"/>
          </w:tcPr>
          <w:p w14:paraId="71C4443F">
            <w:pPr>
              <w:tabs>
                <w:tab w:val="left" w:pos="6870"/>
              </w:tabs>
              <w:jc w:val="center"/>
              <w:rPr>
                <w:rFonts w:hint="eastAsia" w:ascii="宋体" w:hAnsi="宋体" w:cs="宋体"/>
                <w:szCs w:val="21"/>
              </w:rPr>
            </w:pPr>
            <w:r>
              <w:rPr>
                <w:rFonts w:hint="eastAsia" w:ascii="宋体" w:hAnsi="宋体" w:cs="宋体"/>
                <w:szCs w:val="21"/>
              </w:rPr>
              <w:t>指导教师批阅意见</w:t>
            </w:r>
          </w:p>
        </w:tc>
        <w:tc>
          <w:tcPr>
            <w:tcW w:w="7774" w:type="dxa"/>
            <w:gridSpan w:val="6"/>
            <w:vAlign w:val="center"/>
          </w:tcPr>
          <w:p w14:paraId="7348929D">
            <w:pPr>
              <w:tabs>
                <w:tab w:val="left" w:pos="6870"/>
              </w:tabs>
              <w:rPr>
                <w:rFonts w:hint="eastAsia" w:ascii="宋体" w:hAnsi="宋体" w:cs="宋体"/>
                <w:szCs w:val="21"/>
              </w:rPr>
            </w:pPr>
          </w:p>
          <w:p w14:paraId="21E470CB">
            <w:pPr>
              <w:tabs>
                <w:tab w:val="left" w:pos="6870"/>
              </w:tabs>
              <w:rPr>
                <w:rFonts w:hint="eastAsia" w:ascii="宋体" w:hAnsi="宋体" w:cs="宋体"/>
                <w:szCs w:val="21"/>
              </w:rPr>
            </w:pPr>
          </w:p>
          <w:p w14:paraId="19B78A9F">
            <w:pPr>
              <w:tabs>
                <w:tab w:val="left" w:pos="6870"/>
              </w:tabs>
              <w:rPr>
                <w:rFonts w:hint="eastAsia" w:ascii="宋体" w:hAnsi="宋体" w:cs="宋体"/>
                <w:szCs w:val="21"/>
              </w:rPr>
            </w:pPr>
          </w:p>
          <w:p w14:paraId="464D2254">
            <w:pPr>
              <w:tabs>
                <w:tab w:val="left" w:pos="6870"/>
              </w:tabs>
              <w:rPr>
                <w:rFonts w:hint="eastAsia" w:ascii="宋体" w:hAnsi="宋体" w:cs="宋体"/>
                <w:szCs w:val="21"/>
              </w:rPr>
            </w:pPr>
          </w:p>
          <w:p w14:paraId="3C95B9AC">
            <w:pPr>
              <w:tabs>
                <w:tab w:val="left" w:pos="6870"/>
              </w:tabs>
              <w:rPr>
                <w:rFonts w:hint="eastAsia" w:ascii="宋体" w:hAnsi="宋体" w:cs="宋体"/>
                <w:szCs w:val="21"/>
              </w:rPr>
            </w:pPr>
          </w:p>
          <w:p w14:paraId="57AD2400">
            <w:pPr>
              <w:tabs>
                <w:tab w:val="left" w:pos="6870"/>
              </w:tabs>
              <w:rPr>
                <w:rFonts w:hint="eastAsia" w:ascii="宋体" w:hAnsi="宋体" w:cs="宋体"/>
                <w:szCs w:val="21"/>
              </w:rPr>
            </w:pPr>
          </w:p>
          <w:p w14:paraId="4D676496">
            <w:pPr>
              <w:tabs>
                <w:tab w:val="left" w:pos="6870"/>
              </w:tabs>
              <w:rPr>
                <w:rFonts w:hint="eastAsia" w:ascii="宋体" w:hAnsi="宋体" w:cs="宋体"/>
                <w:szCs w:val="21"/>
              </w:rPr>
            </w:pPr>
          </w:p>
          <w:p w14:paraId="68E42ABF">
            <w:pPr>
              <w:tabs>
                <w:tab w:val="left" w:pos="6870"/>
              </w:tabs>
              <w:rPr>
                <w:rFonts w:hint="eastAsia" w:ascii="宋体" w:hAnsi="宋体" w:cs="宋体"/>
                <w:szCs w:val="21"/>
              </w:rPr>
            </w:pPr>
          </w:p>
          <w:p w14:paraId="7B7B577A">
            <w:pPr>
              <w:tabs>
                <w:tab w:val="left" w:pos="6870"/>
              </w:tabs>
              <w:rPr>
                <w:rFonts w:hint="eastAsia" w:ascii="宋体" w:hAnsi="宋体" w:cs="宋体"/>
                <w:szCs w:val="21"/>
              </w:rPr>
            </w:pPr>
          </w:p>
          <w:p w14:paraId="156A6582">
            <w:pPr>
              <w:tabs>
                <w:tab w:val="left" w:pos="6870"/>
              </w:tabs>
              <w:rPr>
                <w:rFonts w:hint="eastAsia" w:ascii="宋体" w:hAnsi="宋体" w:cs="宋体"/>
                <w:szCs w:val="21"/>
              </w:rPr>
            </w:pPr>
          </w:p>
          <w:p w14:paraId="285B250B">
            <w:pPr>
              <w:tabs>
                <w:tab w:val="left" w:pos="6870"/>
              </w:tabs>
              <w:rPr>
                <w:rFonts w:hint="eastAsia" w:ascii="宋体" w:hAnsi="宋体" w:cs="宋体"/>
                <w:szCs w:val="21"/>
              </w:rPr>
            </w:pPr>
          </w:p>
          <w:p w14:paraId="3E161582">
            <w:pPr>
              <w:tabs>
                <w:tab w:val="left" w:pos="6870"/>
              </w:tabs>
              <w:rPr>
                <w:rFonts w:hint="eastAsia" w:ascii="宋体" w:hAnsi="宋体" w:cs="宋体"/>
                <w:szCs w:val="21"/>
              </w:rPr>
            </w:pPr>
            <w:r>
              <w:rPr>
                <w:rFonts w:hint="eastAsia" w:ascii="宋体" w:hAnsi="宋体" w:cs="宋体"/>
                <w:szCs w:val="21"/>
              </w:rPr>
              <w:t xml:space="preserve">                        指导教师(签名)：                年   月    日</w:t>
            </w:r>
          </w:p>
        </w:tc>
      </w:tr>
    </w:tbl>
    <w:p w14:paraId="1FDED212"/>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Google Sans">
    <w:altName w:val="RomanS"/>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A5C26"/>
    <w:multiLevelType w:val="singleLevel"/>
    <w:tmpl w:val="94BA5C26"/>
    <w:lvl w:ilvl="0" w:tentative="0">
      <w:start w:val="1"/>
      <w:numFmt w:val="decimal"/>
      <w:lvlText w:val="%1."/>
      <w:lvlJc w:val="left"/>
      <w:pPr>
        <w:ind w:left="425" w:hanging="425"/>
      </w:pPr>
      <w:rPr>
        <w:rFonts w:hint="default"/>
      </w:rPr>
    </w:lvl>
  </w:abstractNum>
  <w:abstractNum w:abstractNumId="1">
    <w:nsid w:val="038A36E0"/>
    <w:multiLevelType w:val="singleLevel"/>
    <w:tmpl w:val="038A36E0"/>
    <w:lvl w:ilvl="0" w:tentative="0">
      <w:start w:val="1"/>
      <w:numFmt w:val="decimal"/>
      <w:lvlText w:val="%1."/>
      <w:lvlJc w:val="left"/>
      <w:pPr>
        <w:ind w:left="425" w:hanging="425"/>
      </w:pPr>
      <w:rPr>
        <w:rFonts w:hint="default"/>
      </w:rPr>
    </w:lvl>
  </w:abstractNum>
  <w:abstractNum w:abstractNumId="2">
    <w:nsid w:val="0EB0F5A5"/>
    <w:multiLevelType w:val="singleLevel"/>
    <w:tmpl w:val="0EB0F5A5"/>
    <w:lvl w:ilvl="0" w:tentative="0">
      <w:start w:val="1"/>
      <w:numFmt w:val="chineseCounting"/>
      <w:suff w:val="nothing"/>
      <w:lvlText w:val="%1、"/>
      <w:lvlJc w:val="left"/>
      <w:pPr>
        <w:ind w:left="0" w:firstLine="0"/>
      </w:pPr>
      <w:rPr>
        <w:rFonts w:hint="eastAsia" w:ascii="宋体" w:hAnsi="宋体" w:eastAsia="宋体" w:cs="宋体"/>
        <w:sz w:val="24"/>
        <w:szCs w:val="24"/>
      </w:rPr>
    </w:lvl>
  </w:abstractNum>
  <w:abstractNum w:abstractNumId="3">
    <w:nsid w:val="4A32F290"/>
    <w:multiLevelType w:val="singleLevel"/>
    <w:tmpl w:val="4A32F290"/>
    <w:lvl w:ilvl="0" w:tentative="0">
      <w:start w:val="1"/>
      <w:numFmt w:val="decimal"/>
      <w:lvlText w:val="%1."/>
      <w:lvlJc w:val="left"/>
      <w:pPr>
        <w:ind w:left="425" w:hanging="425"/>
      </w:pPr>
      <w:rPr>
        <w:rFonts w:hint="default"/>
        <w:b w:val="0"/>
        <w:bCs w:val="0"/>
      </w:rPr>
    </w:lvl>
  </w:abstractNum>
  <w:abstractNum w:abstractNumId="4">
    <w:nsid w:val="5DEE22A5"/>
    <w:multiLevelType w:val="multilevel"/>
    <w:tmpl w:val="5DEE22A5"/>
    <w:lvl w:ilvl="0" w:tentative="0">
      <w:start w:val="1"/>
      <w:numFmt w:val="chineseCounting"/>
      <w:pStyle w:val="2"/>
      <w:suff w:val="nothing"/>
      <w:lvlText w:val="第%1章 "/>
      <w:lvlJc w:val="left"/>
      <w:pPr>
        <w:ind w:left="0" w:firstLine="0"/>
      </w:pPr>
      <w:rPr>
        <w:rFonts w:hint="eastAsia"/>
      </w:rPr>
    </w:lvl>
    <w:lvl w:ilvl="1" w:tentative="0">
      <w:start w:val="1"/>
      <w:numFmt w:val="decimal"/>
      <w:pStyle w:val="3"/>
      <w:isLgl/>
      <w:lvlText w:val="%1.%2."/>
      <w:lvlJc w:val="left"/>
      <w:pPr>
        <w:ind w:left="0" w:firstLine="0"/>
      </w:pPr>
      <w:rPr>
        <w:rFonts w:hint="eastAsia"/>
      </w:rPr>
    </w:lvl>
    <w:lvl w:ilvl="2" w:tentative="0">
      <w:start w:val="1"/>
      <w:numFmt w:val="decimal"/>
      <w:pStyle w:val="4"/>
      <w:isLgl/>
      <w:suff w:val="nothing"/>
      <w:lvlText w:val="%1.%2.%3."/>
      <w:lvlJc w:val="left"/>
      <w:pPr>
        <w:ind w:left="0" w:firstLine="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7C0946BE"/>
    <w:multiLevelType w:val="singleLevel"/>
    <w:tmpl w:val="7C0946BE"/>
    <w:lvl w:ilvl="0" w:tentative="0">
      <w:start w:val="1"/>
      <w:numFmt w:val="decimal"/>
      <w:lvlText w:val="[%1]"/>
      <w:lvlJc w:val="left"/>
      <w:pPr>
        <w:tabs>
          <w:tab w:val="left" w:pos="420"/>
        </w:tabs>
        <w:ind w:left="420" w:hanging="420"/>
      </w:p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932D8D"/>
    <w:rsid w:val="0019517A"/>
    <w:rsid w:val="001E10EB"/>
    <w:rsid w:val="0030130F"/>
    <w:rsid w:val="003C059C"/>
    <w:rsid w:val="008A45A2"/>
    <w:rsid w:val="00C662FE"/>
    <w:rsid w:val="00ED2DDB"/>
    <w:rsid w:val="043E1433"/>
    <w:rsid w:val="07D04F45"/>
    <w:rsid w:val="1A620D3B"/>
    <w:rsid w:val="279C1F50"/>
    <w:rsid w:val="2B323DA9"/>
    <w:rsid w:val="2D932D8D"/>
    <w:rsid w:val="3F6B4C8F"/>
    <w:rsid w:val="40D72886"/>
    <w:rsid w:val="474048EB"/>
    <w:rsid w:val="50D77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numPr>
        <w:ilvl w:val="0"/>
        <w:numId w:val="1"/>
      </w:numPr>
      <w:spacing w:before="240" w:after="240"/>
      <w:outlineLvl w:val="0"/>
    </w:pPr>
    <w:rPr>
      <w:b/>
      <w:bCs/>
      <w:sz w:val="48"/>
      <w:szCs w:val="48"/>
    </w:rPr>
  </w:style>
  <w:style w:type="paragraph" w:styleId="3">
    <w:name w:val="heading 2"/>
    <w:basedOn w:val="1"/>
    <w:next w:val="1"/>
    <w:qFormat/>
    <w:uiPriority w:val="0"/>
    <w:pPr>
      <w:numPr>
        <w:ilvl w:val="1"/>
        <w:numId w:val="1"/>
      </w:numPr>
      <w:spacing w:before="225" w:after="225"/>
      <w:outlineLvl w:val="1"/>
    </w:pPr>
    <w:rPr>
      <w:b/>
      <w:bCs/>
      <w:sz w:val="36"/>
      <w:szCs w:val="36"/>
    </w:rPr>
  </w:style>
  <w:style w:type="paragraph" w:styleId="4">
    <w:name w:val="heading 3"/>
    <w:basedOn w:val="1"/>
    <w:next w:val="1"/>
    <w:qFormat/>
    <w:uiPriority w:val="0"/>
    <w:pPr>
      <w:numPr>
        <w:ilvl w:val="2"/>
        <w:numId w:val="1"/>
      </w:numPr>
      <w:spacing w:before="240" w:after="240"/>
      <w:outlineLvl w:val="2"/>
    </w:pPr>
    <w:rPr>
      <w:b/>
      <w:bCs/>
      <w:sz w:val="28"/>
      <w:szCs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1"/>
    <w:qFormat/>
    <w:uiPriority w:val="0"/>
    <w:pPr>
      <w:jc w:val="left"/>
    </w:pPr>
  </w:style>
  <w:style w:type="paragraph" w:styleId="6">
    <w:name w:val="Normal (Web)"/>
    <w:basedOn w:val="1"/>
    <w:qFormat/>
    <w:uiPriority w:val="0"/>
    <w:pPr>
      <w:spacing w:beforeAutospacing="1" w:afterAutospacing="1"/>
      <w:jc w:val="left"/>
    </w:pPr>
    <w:rPr>
      <w:kern w:val="0"/>
      <w:sz w:val="24"/>
    </w:rPr>
  </w:style>
  <w:style w:type="paragraph" w:styleId="7">
    <w:name w:val="annotation subject"/>
    <w:basedOn w:val="5"/>
    <w:next w:val="5"/>
    <w:link w:val="12"/>
    <w:qFormat/>
    <w:uiPriority w:val="0"/>
    <w:rPr>
      <w:b/>
      <w:bCs/>
    </w:rPr>
  </w:style>
  <w:style w:type="character" w:styleId="10">
    <w:name w:val="annotation reference"/>
    <w:basedOn w:val="9"/>
    <w:qFormat/>
    <w:uiPriority w:val="0"/>
    <w:rPr>
      <w:sz w:val="21"/>
      <w:szCs w:val="21"/>
    </w:rPr>
  </w:style>
  <w:style w:type="character" w:customStyle="1" w:styleId="11">
    <w:name w:val="批注文字 字符"/>
    <w:basedOn w:val="9"/>
    <w:link w:val="5"/>
    <w:qFormat/>
    <w:uiPriority w:val="0"/>
    <w:rPr>
      <w:kern w:val="2"/>
      <w:sz w:val="21"/>
      <w:szCs w:val="24"/>
    </w:rPr>
  </w:style>
  <w:style w:type="character" w:customStyle="1" w:styleId="12">
    <w:name w:val="批注主题 字符"/>
    <w:basedOn w:val="11"/>
    <w:link w:val="7"/>
    <w:qFormat/>
    <w:uiPriority w:val="0"/>
    <w:rPr>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4178</Words>
  <Characters>5730</Characters>
  <Lines>46</Lines>
  <Paragraphs>12</Paragraphs>
  <TotalTime>29</TotalTime>
  <ScaleCrop>false</ScaleCrop>
  <LinksUpToDate>false</LinksUpToDate>
  <CharactersWithSpaces>6015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2026-01-11T12:48:00Z</dcterms:created>
  <dc:creator>朱家骏</dc:creator>
  <cp:lastModifiedBy>朱家骏</cp:lastModifiedBy>
  <dcterms:modified xsi:type="dcterms:W3CDTF">2026-03-12T04:33:09Z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58D9B9BE22214D8C8221E9BDCC87FA41_11</vt:lpwstr>
  </property>
  <property fmtid="{D5CDD505-2E9C-101B-9397-08002B2CF9AE}" pid="4" name="KSOTemplateDocerSaveRecord">
    <vt:lpwstr>eyJoZGlkIjoiMTBiM2UzOWI3ODlmOWZmZjUxNmQzM2U2ZTdhMjVmZjAiLCJ1c2VySWQiOiIxNTU2NTI3NzkwIn0=</vt:lpwstr>
  </property>
</Properties>
</file>