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视觉电控联调 SDD 规范书</w:t>
      </w:r>
    </w:p>
    <w:p>
      <w:pPr>
        <w:pStyle w:val="Meta"/>
      </w:pPr>
      <w:r>
        <w:t>适用于 Harness 驱动的分阶段开发与验证</w:t>
      </w:r>
    </w:p>
    <w:p>
      <w:pPr>
        <w:pStyle w:val="Meta"/>
      </w:pPr>
      <w:r>
        <w:t>版本：0.1 工作稿  |  日期：2026-09-30  |  范围：视觉端、STM32 接收端及装车联调</w:t>
      </w:r>
    </w:p>
    <w:p>
      <w:pPr>
        <w:pStyle w:val="Meta"/>
      </w:pPr>
      <w:r>
        <w:t>读者：视觉组、电控组、负责执行开发任务的 AI 编程代理及验收人。</w:t>
      </w:r>
    </w:p>
    <w:p>
      <w:pPr>
        <w:pStyle w:val="Heading1"/>
      </w:pPr>
      <w:r>
        <w:t>1 目的与当前结论</w:t>
      </w:r>
    </w:p>
    <w:p>
      <w:r>
        <w:t>本规范采用 SDD（规格驱动开发）：先确定可验证的规格，再由 Harness 按子需求驱动开发和复测。每个子需求只在前置证据齐全后实施；每轮改动须记录输入、变更、验证结果和未决问题。装车标定完成前，不得将视觉闭环用于整场任务放行。</w:t>
      </w:r>
    </w:p>
    <w:p>
      <w:r>
        <w:rPr>
          <w:b/>
        </w:rPr>
        <w:t>当前阻塞项：</w:t>
      </w:r>
      <w:r>
        <w:t>原联调说明使用 ASCII 的 QR、OBJ、SET 行协议；同目录的联合 App 与 STM32 示例使用 AA 55 帧头和 CRC16 二进制协议，类别表也不同。两套资料不能直接合并为一套实现。阶段 G0 须由视觉组和电控组共同确认唯一目标基线，记录版本与样帧，再启动协议代码任务。</w:t>
      </w:r>
    </w:p>
    <w:p>
      <w:pPr>
        <w:pStyle w:val="Heading1"/>
      </w:pPr>
      <w:r>
        <w:t>2 资料来源、适用边界与决策记录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368"/>
            <w:shd w:fill="E8EEF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来源</w:t>
            </w:r>
          </w:p>
        </w:tc>
        <w:tc>
          <w:tcPr>
            <w:tcW w:type="dxa" w:w="4320"/>
            <w:shd w:fill="E8EEF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可确认事实</w:t>
            </w:r>
          </w:p>
        </w:tc>
        <w:tc>
          <w:tcPr>
            <w:tcW w:type="dxa" w:w="4104"/>
            <w:shd w:fill="E8EEF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本规范的处理</w:t>
            </w:r>
          </w:p>
        </w:tc>
      </w:tr>
      <w:tr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原文《视觉电控联调说明》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USART2、PD5/PD6、115200 8N1；ASCII QR/OBJ/SET；排爆流程与标定风险。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作为业务需求与 ASCII 候选协议 A；未实测数值保留待确认。</w:t>
            </w:r>
          </w:p>
        </w:tc>
      </w:tr>
      <w:tr>
        <w:tc>
          <w:tcPr>
            <w:tcW w:type="dxa" w:w="1368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当前联合 App 与 STM32 示例</w:t>
            </w:r>
          </w:p>
        </w:tc>
        <w:tc>
          <w:tcPr>
            <w:tcW w:type="dxa" w:w="4320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MaixPy/Python、STM32 C；AA 55 + CRC16；0x01 目标帧与 0x51 QR 帧；类别 0～8。</w:t>
            </w:r>
          </w:p>
        </w:tc>
        <w:tc>
          <w:tcPr>
            <w:tcW w:type="dxa" w:w="4104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作为候选协议 B 的代码事实；不推定已经满足原文业务流程。</w:t>
            </w:r>
          </w:p>
        </w:tc>
      </w:tr>
      <w:tr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工程目录说明与实际目录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目录说明仍引用旧编号；实际工程位于 01、02、03 目录。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AGENTS.md 示例按实际目录写；发布前再次核对。</w:t>
            </w:r>
          </w:p>
        </w:tc>
      </w:tr>
    </w:tbl>
    <w:p>
      <w:pPr>
        <w:spacing w:after="20"/>
      </w:pPr>
    </w:p>
    <w:p>
      <w:r>
        <w:rPr>
          <w:b/>
        </w:rPr>
        <w:t>基线决策单必须写明：</w:t>
      </w:r>
      <w:r>
        <w:t>采用 A、采用 B 或新版本 C；双方代码提交号；真实收发样帧；字段、编号、字节序、长度、校验、换行及错误处理；不兼容项的迁移计划；签字人与日期。未签署时，除取证和测试桩外，不得修改真实协议实现。</w:t>
      </w:r>
    </w:p>
    <w:p>
      <w:pPr>
        <w:pStyle w:val="Heading2"/>
      </w:pPr>
      <w:r>
        <w:t>2.1 候选协议对照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440"/>
            <w:shd w:fill="E8EEF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项目</w:t>
            </w:r>
          </w:p>
        </w:tc>
        <w:tc>
          <w:tcPr>
            <w:tcW w:type="dxa" w:w="4176"/>
            <w:shd w:fill="E8EEF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A 原说明</w:t>
            </w:r>
          </w:p>
        </w:tc>
        <w:tc>
          <w:tcPr>
            <w:tcW w:type="dxa" w:w="4176"/>
            <w:shd w:fill="E8EEF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B 当前示例代码</w:t>
            </w:r>
          </w:p>
        </w:tc>
      </w:tr>
      <w:t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帧与命令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ASCII 行；QR,d1,d2,d3；OBJ,cls,label,cx,cy,w,h,conf；SET,qr/eod/anti/rescue。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AA 55 + 数据体 + CRC16；目标帧类型 0x01；QR 帧类型 0x51；模式由 USER 键切换。</w:t>
            </w:r>
          </w:p>
        </w:tc>
      </w:tr>
      <w:tr>
        <w:tc>
          <w:tcPr>
            <w:tcW w:type="dxa" w:w="1440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类别</w:t>
            </w:r>
          </w:p>
        </w:tc>
        <w:tc>
          <w:tcPr>
            <w:tcW w:type="dxa" w:w="4176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OBJ cls：0 球、1 靶、2 人质、3 桶；各类另有 label。</w:t>
            </w:r>
          </w:p>
        </w:tc>
        <w:tc>
          <w:tcPr>
            <w:tcW w:type="dxa" w:w="4176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class_id 0～8：扁圆、圆柱、圆台、蓝/红/绿球、红/蓝/绿靶。</w:t>
            </w:r>
          </w:p>
        </w:tc>
      </w:tr>
      <w:t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已知缺口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无 SET,bucket 实现；conf 门槛、桶 label、实际画幅及工作点待确认。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STM32 示例只解析目标帧，QR 分支尚未接入；未见原文的 SET/eod 与桶流程。</w:t>
            </w:r>
          </w:p>
        </w:tc>
      </w:tr>
    </w:tbl>
    <w:p>
      <w:pPr>
        <w:spacing w:after="20"/>
      </w:pPr>
    </w:p>
    <w:p>
      <w:pPr>
        <w:pStyle w:val="Heading1"/>
      </w:pPr>
      <w:r>
        <w:t>3 总需求与子需求</w:t>
      </w:r>
    </w:p>
    <w:p>
      <w:r>
        <w:t>状态词统一为：已证实、待验证、待决策、已通过、未通过。下列“应”是开发目标，不代表现状已经实现。每项必须能追溯到证据文件。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584"/>
            <w:shd w:fill="E8EEF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总需求</w:t>
            </w:r>
          </w:p>
        </w:tc>
        <w:tc>
          <w:tcPr>
            <w:tcW w:type="dxa" w:w="5904"/>
            <w:shd w:fill="E8EEF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目标</w:t>
            </w:r>
          </w:p>
        </w:tc>
        <w:tc>
          <w:tcPr>
            <w:tcW w:type="dxa" w:w="2304"/>
            <w:shd w:fill="E8EEF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依赖</w:t>
            </w:r>
          </w:p>
        </w:tc>
      </w:tr>
      <w:t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R0 协议基线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固定唯一、可实现的接口契约。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无</w:t>
            </w:r>
          </w:p>
        </w:tc>
      </w:tr>
      <w:tr>
        <w:tc>
          <w:tcPr>
            <w:tcW w:type="dxa" w:w="1584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R1 串口传输</w:t>
            </w:r>
          </w:p>
        </w:tc>
        <w:tc>
          <w:tcPr>
            <w:tcW w:type="dxa" w:w="5904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完整收发、错误隔离和可重现日志。</w:t>
            </w:r>
          </w:p>
        </w:tc>
        <w:tc>
          <w:tcPr>
            <w:tcW w:type="dxa" w:w="2304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R0</w:t>
            </w:r>
          </w:p>
        </w:tc>
      </w:tr>
      <w:t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R2 目标语义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QR 与目标编号一致，失效帧不触发动作。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R0、R1</w:t>
            </w:r>
          </w:p>
        </w:tc>
      </w:tr>
      <w:tr>
        <w:tc>
          <w:tcPr>
            <w:tcW w:type="dxa" w:w="1584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R3 坐标与标定</w:t>
            </w:r>
          </w:p>
        </w:tc>
        <w:tc>
          <w:tcPr>
            <w:tcW w:type="dxa" w:w="5904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将检测位置映射为各执行器工作点。</w:t>
            </w:r>
          </w:p>
        </w:tc>
        <w:tc>
          <w:tcPr>
            <w:tcW w:type="dxa" w:w="2304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R2、机构固定</w:t>
            </w:r>
          </w:p>
        </w:tc>
      </w:tr>
      <w:t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R4 排爆时序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找球、转向、找桶各阶段只消费对应目标。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R2、R3</w:t>
            </w:r>
          </w:p>
        </w:tc>
      </w:tr>
      <w:tr>
        <w:tc>
          <w:tcPr>
            <w:tcW w:type="dxa" w:w="1584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R5 证据交付</w:t>
            </w:r>
          </w:p>
        </w:tc>
        <w:tc>
          <w:tcPr>
            <w:tcW w:type="dxa" w:w="5904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样帧、图像、日志和测试可追溯。</w:t>
            </w:r>
          </w:p>
        </w:tc>
        <w:tc>
          <w:tcPr>
            <w:tcW w:type="dxa" w:w="2304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贯穿所有阶段</w:t>
            </w:r>
          </w:p>
        </w:tc>
      </w:tr>
      <w:t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R6 放行控制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未完成标定或验收时维持视觉放行关闭。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R0～R5</w:t>
            </w:r>
          </w:p>
        </w:tc>
      </w:tr>
    </w:tbl>
    <w:p>
      <w:pPr>
        <w:spacing w:after="20"/>
      </w:pPr>
    </w:p>
    <w:p>
      <w:pPr>
        <w:pStyle w:val="Heading2"/>
      </w:pPr>
      <w:r>
        <w:t>R0 固定协议基线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080"/>
            <w:shd w:fill="E8EEF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编号</w:t>
            </w:r>
          </w:p>
        </w:tc>
        <w:tc>
          <w:tcPr>
            <w:tcW w:type="dxa" w:w="4320"/>
            <w:shd w:fill="E8EEF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可执行要求</w:t>
            </w:r>
          </w:p>
        </w:tc>
        <w:tc>
          <w:tcPr>
            <w:tcW w:type="dxa" w:w="4392"/>
            <w:shd w:fill="E8EEF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验证与通过条件</w:t>
            </w:r>
          </w:p>
        </w:tc>
      </w:tr>
      <w:tr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R0.1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双方核对 A/B 真实代码与原始串口记录，填写基线决策单；禁止只凭说明文字定版。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留存代码提交号、串口原始字节及双方确认；三者一致。</w:t>
            </w:r>
          </w:p>
        </w:tc>
      </w:tr>
      <w:tr>
        <w:tc>
          <w:tcPr>
            <w:tcW w:type="dxa" w:w="1080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R0.2</w:t>
            </w:r>
          </w:p>
        </w:tc>
        <w:tc>
          <w:tcPr>
            <w:tcW w:type="dxa" w:w="4320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在选定基线中逐字段定义编码、取值、单位、无效值和边界；补齐 QR、OBJ、模式命令。</w:t>
            </w:r>
          </w:p>
        </w:tc>
        <w:tc>
          <w:tcPr>
            <w:tcW w:type="dxa" w:w="4392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逐字段对照表无“默认猜测”；未决字段明确责任人与截止点。</w:t>
            </w:r>
          </w:p>
        </w:tc>
      </w:tr>
      <w:tr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R0.3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每个协议版本提供正例、截断、校验错误、非法编号和连续两帧样例。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发送端生成与接收端解析结果一致；坏帧不触发动作。</w:t>
            </w:r>
          </w:p>
        </w:tc>
      </w:tr>
    </w:tbl>
    <w:p>
      <w:pPr>
        <w:spacing w:after="20"/>
      </w:pPr>
    </w:p>
    <w:p>
      <w:pPr>
        <w:pStyle w:val="Heading2"/>
      </w:pPr>
      <w:r>
        <w:t>R1 串口传输与解析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080"/>
            <w:shd w:fill="E8EEF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编号</w:t>
            </w:r>
          </w:p>
        </w:tc>
        <w:tc>
          <w:tcPr>
            <w:tcW w:type="dxa" w:w="4320"/>
            <w:shd w:fill="E8EEF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可执行要求</w:t>
            </w:r>
          </w:p>
        </w:tc>
        <w:tc>
          <w:tcPr>
            <w:tcW w:type="dxa" w:w="4392"/>
            <w:shd w:fill="E8EEF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验证与通过条件</w:t>
            </w:r>
          </w:p>
        </w:tc>
      </w:tr>
      <w:tr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R1.1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固定 USART2：PD5 为 STM32 TX 接视觉 RX，PD6 为 STM32 RX 接视觉 TX；共地并核对电平。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接线表、照片和实测电平留档；115200、8 数据位、1 停止位、无校验可稳定收发。</w:t>
            </w:r>
          </w:p>
        </w:tc>
      </w:tr>
      <w:tr>
        <w:tc>
          <w:tcPr>
            <w:tcW w:type="dxa" w:w="1080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R1.2</w:t>
            </w:r>
          </w:p>
        </w:tc>
        <w:tc>
          <w:tcPr>
            <w:tcW w:type="dxa" w:w="4320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若选择 A：ASCII、半角逗号、LF 结束，CR 可选；有效内容不超过 47 个 ASCII 字符（CR 不计）。</w:t>
            </w:r>
          </w:p>
        </w:tc>
        <w:tc>
          <w:tcPr>
            <w:tcW w:type="dxa" w:w="4392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边界长度、仅 LF、CRLF、超长、非 ASCII 的串口回放结果符合决策单。</w:t>
            </w:r>
          </w:p>
        </w:tc>
      </w:tr>
      <w:tr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R1.3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若选择 B：按冻结版的帧头、长度、类型、字节序与 CRC16 解析；不将 A 字符串混入 B。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冻结版样帧及错误 CRC、缺字节、粘连帧回放；只接受完整合法帧。</w:t>
            </w:r>
          </w:p>
        </w:tc>
      </w:tr>
      <w:tr>
        <w:tc>
          <w:tcPr>
            <w:tcW w:type="dxa" w:w="1080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R1.4</w:t>
            </w:r>
          </w:p>
        </w:tc>
        <w:tc>
          <w:tcPr>
            <w:tcW w:type="dxa" w:w="4320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接收端对超长、截断、非法字段和校验错误丢弃并可恢复同步。</w:t>
            </w:r>
          </w:p>
        </w:tc>
        <w:tc>
          <w:tcPr>
            <w:tcW w:type="dxa" w:w="4392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错误帧后紧接合法帧能解析；记录拒收原因及计数。</w:t>
            </w:r>
          </w:p>
        </w:tc>
      </w:tr>
    </w:tbl>
    <w:p>
      <w:pPr>
        <w:spacing w:after="20"/>
      </w:pPr>
    </w:p>
    <w:p>
      <w:pPr>
        <w:pStyle w:val="Heading2"/>
      </w:pPr>
      <w:r>
        <w:t>R2 二维码与目标语义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080"/>
            <w:shd w:fill="E8EEF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编号</w:t>
            </w:r>
          </w:p>
        </w:tc>
        <w:tc>
          <w:tcPr>
            <w:tcW w:type="dxa" w:w="4320"/>
            <w:shd w:fill="E8EEF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可执行要求</w:t>
            </w:r>
          </w:p>
        </w:tc>
        <w:tc>
          <w:tcPr>
            <w:tcW w:type="dxa" w:w="4392"/>
            <w:shd w:fill="E8EEF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验证与通过条件</w:t>
            </w:r>
          </w:p>
        </w:tc>
      </w:tr>
      <w:tr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R2.1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若选择 A：QR 三元组同时给全且各为 1～3；d1 球色、d2 靶色、d3 人质形状。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有效、缺位、越界、遮挡样本逐条验证；无效 QR 不放行越障。</w:t>
            </w:r>
          </w:p>
        </w:tc>
      </w:tr>
      <w:tr>
        <w:tc>
          <w:tcPr>
            <w:tcW w:type="dxa" w:w="1080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R2.2</w:t>
            </w:r>
          </w:p>
        </w:tc>
        <w:tc>
          <w:tcPr>
            <w:tcW w:type="dxa" w:w="4320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若选择 A：OBJ cls 依次为球 0、靶 1、人质 2、桶 3；球/靶 label 0 红 1 绿 2 蓝，人质 3 圆柱 4 圆锥 5 腰鼓。</w:t>
            </w:r>
          </w:p>
        </w:tc>
        <w:tc>
          <w:tcPr>
            <w:tcW w:type="dxa" w:w="4392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每类真实样帧及错配样帧；只有目标类别与标签都匹配时才进入待对准状态。</w:t>
            </w:r>
          </w:p>
        </w:tc>
      </w:tr>
      <w:tr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R2.3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桶 label、conf 的范围与门槛、目标丢失时的输出，须双方实测决定；不得把低可信或丢失目标伪装成有效 OBJ。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决策单写明值域和门槛；丢失、低可信、重现回放中不误动作。</w:t>
            </w:r>
          </w:p>
        </w:tc>
      </w:tr>
      <w:tr>
        <w:tc>
          <w:tcPr>
            <w:tcW w:type="dxa" w:w="1080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R2.4</w:t>
            </w:r>
          </w:p>
        </w:tc>
        <w:tc>
          <w:tcPr>
            <w:tcW w:type="dxa" w:w="4320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若选择 B：先完成 QR 帧的 STM32 接收分支及业务编号映射，再声明支持扫码业务。</w:t>
            </w:r>
          </w:p>
        </w:tc>
        <w:tc>
          <w:tcPr>
            <w:tcW w:type="dxa" w:w="4392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0x51 实际样帧能被解析并转为经确认的业务三元组；非法值不放行。</w:t>
            </w:r>
          </w:p>
        </w:tc>
      </w:tr>
    </w:tbl>
    <w:p>
      <w:pPr>
        <w:spacing w:after="20"/>
      </w:pPr>
    </w:p>
    <w:p>
      <w:pPr>
        <w:pStyle w:val="Heading2"/>
      </w:pPr>
      <w:r>
        <w:t>R3 坐标定义与装车标定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080"/>
            <w:shd w:fill="E8EEF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编号</w:t>
            </w:r>
          </w:p>
        </w:tc>
        <w:tc>
          <w:tcPr>
            <w:tcW w:type="dxa" w:w="4320"/>
            <w:shd w:fill="E8EEF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可执行要求</w:t>
            </w:r>
          </w:p>
        </w:tc>
        <w:tc>
          <w:tcPr>
            <w:tcW w:type="dxa" w:w="4392"/>
            <w:shd w:fill="E8EEF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验证与通过条件</w:t>
            </w:r>
          </w:p>
        </w:tc>
      </w:tr>
      <w:tr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R3.1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逐模式记录画幅、原点、x/y 方向、镜像、旋转、裁切、缩放、预览和串口坐标的关系。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原图带坐标网格与样帧一一对应；两端复算同一目标中心一致。</w:t>
            </w:r>
          </w:p>
        </w:tc>
      </w:tr>
      <w:tr>
        <w:tc>
          <w:tcPr>
            <w:tcW w:type="dxa" w:w="1080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R3.2</w:t>
            </w:r>
          </w:p>
        </w:tc>
        <w:tc>
          <w:tcPr>
            <w:tcW w:type="dxa" w:w="4320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明确 cx/cy 是外接框中心还是任务点，w/h 对应何框；球心、人质可夹持点、桶口中心、靶环心分别标注。</w:t>
            </w:r>
          </w:p>
        </w:tc>
        <w:tc>
          <w:tcPr>
            <w:tcW w:type="dxa" w:w="4392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每类至少一张原图同时标出检测点与工作点；偏差可复算。</w:t>
            </w:r>
          </w:p>
        </w:tc>
      </w:tr>
      <w:tr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R3.3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视觉端先发原始目标坐标；执行器偏置只由一个确定的层负责。四个暂填 160 的横坐标和约 1/4 画宽偏差不得视为标定值。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查配置与样帧确认无双重补偿；标定表替换临时值并保留测量依据。</w:t>
            </w:r>
          </w:p>
        </w:tc>
      </w:tr>
      <w:tr>
        <w:tc>
          <w:tcPr>
            <w:tcW w:type="dxa" w:w="1080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R3.4</w:t>
            </w:r>
          </w:p>
        </w:tc>
        <w:tc>
          <w:tcPr>
            <w:tcW w:type="dxa" w:w="4320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机构固定后分别测抓球、夹人质、激光命中、投桶工作点；左右接近且覆盖至少两种距离。</w:t>
            </w:r>
          </w:p>
        </w:tc>
        <w:tc>
          <w:tcPr>
            <w:tcW w:type="dxa" w:w="4392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记录 cx、h、实距、站位、执行结果；若偏置随距离或姿态变化，改用分段/函数标定并复测。</w:t>
            </w:r>
          </w:p>
        </w:tc>
      </w:tr>
    </w:tbl>
    <w:p>
      <w:pPr>
        <w:spacing w:after="20"/>
      </w:pPr>
    </w:p>
    <w:p>
      <w:pPr>
        <w:pStyle w:val="Heading2"/>
      </w:pPr>
      <w:r>
        <w:t>R4 排爆任务状态与多目标时序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080"/>
            <w:shd w:fill="E8EEF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编号</w:t>
            </w:r>
          </w:p>
        </w:tc>
        <w:tc>
          <w:tcPr>
            <w:tcW w:type="dxa" w:w="4320"/>
            <w:shd w:fill="E8EEF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可执行要求</w:t>
            </w:r>
          </w:p>
        </w:tc>
        <w:tc>
          <w:tcPr>
            <w:tcW w:type="dxa" w:w="4392"/>
            <w:shd w:fill="E8EEF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验证与通过条件</w:t>
            </w:r>
          </w:p>
        </w:tc>
      </w:tr>
      <w:tr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R4.1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排爆状态至少区分找指定颜色球、抓取完成、车身转 180 度、找桶、投放完成；切换条件写成状态表。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状态迁移回放覆盖成功、超时、目标丢失；不得在找桶阶段消费旧球帧。</w:t>
            </w:r>
          </w:p>
        </w:tc>
      </w:tr>
      <w:tr>
        <w:tc>
          <w:tcPr>
            <w:tcW w:type="dxa" w:w="1080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R4.2</w:t>
            </w:r>
          </w:p>
        </w:tc>
        <w:tc>
          <w:tcPr>
            <w:tcW w:type="dxa" w:w="4320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若 A 仍复用 SET,eod，须确认同画面球/桶/多目标的上报顺序和频率，再决定分类缓存或新增阶段命令。</w:t>
            </w:r>
          </w:p>
        </w:tc>
        <w:tc>
          <w:tcPr>
            <w:tcW w:type="dxa" w:w="4392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连续原始日志重放；指定目标不会因“只留最新一帧”而被覆盖。</w:t>
            </w:r>
          </w:p>
        </w:tc>
      </w:tr>
      <w:tr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R4.3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不得按未实现的 SET,bucket 编码；若新增命令，先完成双端协议变更、兼容策略和回归样帧。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版本化决策单、双端测试、旧版拒收或兼容行为均留证。</w:t>
            </w:r>
          </w:p>
        </w:tc>
      </w:tr>
    </w:tbl>
    <w:p>
      <w:pPr>
        <w:spacing w:after="20"/>
      </w:pPr>
    </w:p>
    <w:p>
      <w:pPr>
        <w:pStyle w:val="Heading2"/>
      </w:pPr>
      <w:r>
        <w:t>R5 证据与 R6 放行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080"/>
            <w:shd w:fill="E8EEF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编号</w:t>
            </w:r>
          </w:p>
        </w:tc>
        <w:tc>
          <w:tcPr>
            <w:tcW w:type="dxa" w:w="4320"/>
            <w:shd w:fill="E8EEF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可执行要求</w:t>
            </w:r>
          </w:p>
        </w:tc>
        <w:tc>
          <w:tcPr>
            <w:tcW w:type="dxa" w:w="4392"/>
            <w:shd w:fill="E8EEF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验证与通过条件</w:t>
            </w:r>
          </w:p>
        </w:tc>
      </w:tr>
      <w:tr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R5.1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视觉组交付未手工改写的连续串口日志：有效/无效 QR、四类目标、消失/重现、排爆找球至找桶全过程。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日志含时间戳、设备版本、采集设置、帧号；可独立回放。</w:t>
            </w:r>
          </w:p>
        </w:tc>
      </w:tr>
      <w:tr>
        <w:tc>
          <w:tcPr>
            <w:tcW w:type="dxa" w:w="1080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R5.2</w:t>
            </w:r>
          </w:p>
        </w:tc>
        <w:tc>
          <w:tcPr>
            <w:tcW w:type="dxa" w:w="4320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每类至少一张原图或截图，并交付编号对照、conf 分布、帧率、首帧延迟及多目标策略。</w:t>
            </w:r>
          </w:p>
        </w:tc>
        <w:tc>
          <w:tcPr>
            <w:tcW w:type="dxa" w:w="4392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图像编号与日志行或帧号可互相定位。</w:t>
            </w:r>
          </w:p>
        </w:tc>
      </w:tr>
      <w:tr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R5.3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每轮 Harness 任务记录需求编号、修改文件、测试命令、结果、证据路径、未决问题。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验收人能从需求编号复现结果；无证据项不得标“通过”。</w:t>
            </w:r>
          </w:p>
        </w:tc>
      </w:tr>
      <w:tr>
        <w:tc>
          <w:tcPr>
            <w:tcW w:type="dxa" w:w="1080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R6.1</w:t>
            </w:r>
          </w:p>
        </w:tc>
        <w:tc>
          <w:tcPr>
            <w:tcW w:type="dxa" w:w="4320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正式视觉标定前，整场任务视觉放行开关保持关闭。</w:t>
            </w:r>
          </w:p>
        </w:tc>
        <w:tc>
          <w:tcPr>
            <w:tcW w:type="dxa" w:w="4392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配置读回、上电状态与人工安全检查均显示关闭。</w:t>
            </w:r>
          </w:p>
        </w:tc>
      </w:tr>
      <w:tr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R6.2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协议、语义、标定、排爆时序任一门未通过时，只允许受控台架验证，不进入自动执行。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阶段门清单无缺项；失败后能回到已知安全状态。</w:t>
            </w:r>
          </w:p>
        </w:tc>
      </w:tr>
    </w:tbl>
    <w:p>
      <w:pPr>
        <w:spacing w:after="20"/>
      </w:pPr>
    </w:p>
    <w:p>
      <w:pPr>
        <w:pStyle w:val="Heading1"/>
      </w:pPr>
      <w:r>
        <w:t>4 分阶段实施与再验证</w:t>
      </w:r>
    </w:p>
    <w:p>
      <w:r>
        <w:t>每个阶段执行同一闭环：读取 AGENTS.md 和当前基线，选择一个子需求，先写失败样例或采集现状证据，实施最小改动，运行相关验证，记录结果，复核前一阶段通过项，再决定进入下一阶段。不得把多个未验证子需求合并为一次“完成”。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267"/>
            <w:shd w:fill="E8EEF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门</w:t>
            </w:r>
          </w:p>
        </w:tc>
        <w:tc>
          <w:tcPr>
            <w:tcW w:type="dxa" w:w="3960"/>
            <w:shd w:fill="E8EEF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本轮只做什么</w:t>
            </w:r>
          </w:p>
        </w:tc>
        <w:tc>
          <w:tcPr>
            <w:tcW w:type="dxa" w:w="4565"/>
            <w:shd w:fill="E8EEF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退出条件与证据</w:t>
            </w:r>
          </w:p>
        </w:tc>
      </w:tr>
      <w:tr>
        <w:tc>
          <w:tcPr>
            <w:tcW w:type="dxa" w:w="12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G0 基线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取证并决定 A/B/C；修订字段和编号表。</w:t>
            </w:r>
          </w:p>
        </w:tc>
        <w:tc>
          <w:tcPr>
            <w:tcW w:type="dxa" w:w="45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双方签署基线决策单；正反样帧齐全。</w:t>
            </w:r>
          </w:p>
        </w:tc>
      </w:tr>
      <w:tr>
        <w:tc>
          <w:tcPr>
            <w:tcW w:type="dxa" w:w="1267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G1 链路</w:t>
            </w:r>
          </w:p>
        </w:tc>
        <w:tc>
          <w:tcPr>
            <w:tcW w:type="dxa" w:w="3960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接线、电平、帧边界、坏帧恢复。</w:t>
            </w:r>
          </w:p>
        </w:tc>
        <w:tc>
          <w:tcPr>
            <w:tcW w:type="dxa" w:w="4565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协议回放全通过；原始串口日志可重现。</w:t>
            </w:r>
          </w:p>
        </w:tc>
      </w:tr>
      <w:tr>
        <w:tc>
          <w:tcPr>
            <w:tcW w:type="dxa" w:w="12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G2 语义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QR、目标、置信度、丢失处理。</w:t>
            </w:r>
          </w:p>
        </w:tc>
        <w:tc>
          <w:tcPr>
            <w:tcW w:type="dxa" w:w="45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每类正反样例通过；无效输入不触发动作。</w:t>
            </w:r>
          </w:p>
        </w:tc>
      </w:tr>
      <w:tr>
        <w:tc>
          <w:tcPr>
            <w:tcW w:type="dxa" w:w="1267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G3 时序</w:t>
            </w:r>
          </w:p>
        </w:tc>
        <w:tc>
          <w:tcPr>
            <w:tcW w:type="dxa" w:w="3960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找球、转向、找桶，多目标覆盖问题。</w:t>
            </w:r>
          </w:p>
        </w:tc>
        <w:tc>
          <w:tcPr>
            <w:tcW w:type="dxa" w:w="4565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连续日志回放通过；无旧帧串阶段。</w:t>
            </w:r>
          </w:p>
        </w:tc>
      </w:tr>
      <w:tr>
        <w:tc>
          <w:tcPr>
            <w:tcW w:type="dxa" w:w="12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G4 标定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固定机构并分别测四类工作点。</w:t>
            </w:r>
          </w:p>
        </w:tc>
        <w:tc>
          <w:tcPr>
            <w:tcW w:type="dxa" w:w="45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左右/远近复测记录合格；误差阈值由双方签署。</w:t>
            </w:r>
          </w:p>
        </w:tc>
      </w:tr>
      <w:tr>
        <w:tc>
          <w:tcPr>
            <w:tcW w:type="dxa" w:w="1267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G5 放行</w:t>
            </w:r>
          </w:p>
        </w:tc>
        <w:tc>
          <w:tcPr>
            <w:tcW w:type="dxa" w:w="3960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整合回归、受控现场验证。</w:t>
            </w:r>
          </w:p>
        </w:tc>
        <w:tc>
          <w:tcPr>
            <w:tcW w:type="dxa" w:w="4565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R0～R6 全部通过；放行开关变更有负责人和记录。</w:t>
            </w:r>
          </w:p>
        </w:tc>
      </w:tr>
    </w:tbl>
    <w:p>
      <w:pPr>
        <w:spacing w:after="20"/>
      </w:pPr>
    </w:p>
    <w:p>
      <w:r>
        <w:rPr>
          <w:b/>
        </w:rPr>
        <w:t>若 G2 发现标签错配，</w:t>
      </w:r>
      <w:r>
        <w:t>应退回 R0.2 检查编号表并重跑 G1；若 G4 发现坐标方向反转，应修订 R3.1，重跑 G2、G3、G4。每次追问只针对缺失证据或失败用例，更新决策单后再迭代。</w:t>
      </w:r>
    </w:p>
    <w:p>
      <w:pPr>
        <w:pStyle w:val="Heading1"/>
      </w:pPr>
      <w:r>
        <w:t>5 Harness 开发约束与提示词</w:t>
      </w:r>
    </w:p>
    <w:p>
      <w:r>
        <w:t>Harness 的入口应先加载项目规则文件，再读本规范、基线决策单和本轮证据。提示词必须含角色设定、背景信息、具体需求、约束条件、输出格式。每轮只交付一个可验收的子需求；下一轮依据测试结果继续追问。</w:t>
      </w:r>
    </w:p>
    <w:p>
      <w:pPr>
        <w:pStyle w:val="Heading2"/>
      </w:pPr>
      <w:r>
        <w:t>5.1 可复用提示词模板</w:t>
      </w:r>
    </w:p>
    <w:p>
      <w:pPr>
        <w:pStyle w:val="CodeBlock"/>
      </w:pPr>
      <w:r>
        <w:t>【角色设定】你是熟悉 MaixPy、STM32 HAL 和串口协议的工程开发代理。</w:t>
      </w:r>
    </w:p>
    <w:p>
      <w:pPr>
        <w:pStyle w:val="CodeBlock"/>
      </w:pPr>
      <w:r>
        <w:t>【背景信息】读取项目根目录 AGENTS.md、本 SDD、已签署的协议基线决策单；当前阶段为 G{门编号}。</w:t>
      </w:r>
    </w:p>
    <w:p>
      <w:pPr>
        <w:pStyle w:val="CodeBlock"/>
      </w:pPr>
      <w:r>
        <w:t>【具体需求】只实现 R{子需求编号}。输入样帧：{文件}；预期结果：{可观察输出}。</w:t>
      </w:r>
    </w:p>
    <w:p>
      <w:pPr>
        <w:pStyle w:val="CodeBlock"/>
      </w:pPr>
      <w:r>
        <w:t>【约束条件】不得猜测未决字段；不得混用 A/B 协议；不得改动无关目录；保留现有用户改动；先给失败复现。</w:t>
      </w:r>
    </w:p>
    <w:p>
      <w:pPr>
        <w:pStyle w:val="CodeBlock"/>
      </w:pPr>
      <w:r>
        <w:t>【输出格式】按“现状证据、修改文件、验证命令与结果、原始日志/截图路径、未决问题、下一步”六项回答。</w:t>
      </w:r>
    </w:p>
    <w:p>
      <w:pPr>
        <w:pStyle w:val="Heading2"/>
      </w:pPr>
      <w:r>
        <w:t>5.2 具体示例与迭代追问</w:t>
      </w:r>
    </w:p>
    <w:p>
      <w:r>
        <w:t>示例任务先选 G0，避免在协议尚未冻结时让 AI 生成解析器：</w:t>
      </w:r>
    </w:p>
    <w:p>
      <w:pPr>
        <w:pStyle w:val="CodeBlock"/>
      </w:pPr>
      <w:r>
        <w:t>角色：你是联调取证工程师。</w:t>
      </w:r>
    </w:p>
    <w:p>
      <w:pPr>
        <w:pStyle w:val="CodeBlock"/>
      </w:pPr>
      <w:r>
        <w:t>背景：原说明是 ASCII QR/OBJ/SET；当前 qr_object_app/protocol.py 输出 AA 55 + CRC16。</w:t>
      </w:r>
    </w:p>
    <w:p>
      <w:pPr>
        <w:pStyle w:val="CodeBlock"/>
      </w:pPr>
      <w:r>
        <w:t>需求：比较 R0.1 的两套接口，逐项列出帧边界、类别编号、QR 路径及模式切换证据。</w:t>
      </w:r>
    </w:p>
    <w:p>
      <w:pPr>
        <w:pStyle w:val="CodeBlock"/>
      </w:pPr>
      <w:r>
        <w:t>约束：只读，不改代码；未知写“待双方确认”，不得推断现场采用哪一套。</w:t>
      </w:r>
    </w:p>
    <w:p>
      <w:pPr>
        <w:pStyle w:val="CodeBlock"/>
      </w:pPr>
      <w:r>
        <w:t>输出：三列表“条目、证据文件与行、差异”；再列基线决策单待确认问题。</w:t>
      </w:r>
    </w:p>
    <w:p>
      <w:r>
        <w:t>迭代追问示例：若日志里同时出现球帧和桶帧，追问“在同一帧序号下，视觉端按什么顺序发送？STM32 在转向后的第一个有效桶帧前是否会消费旧球帧？请给连续 10 秒原始日志、回放命令和状态迁移结果。”这比“把联调做好”更可检验。</w:t>
      </w:r>
    </w:p>
    <w:p>
      <w:pPr>
        <w:pStyle w:val="Heading2"/>
      </w:pPr>
      <w:r>
        <w:t>5.3 项目 AGENTS.md 建议内容</w:t>
      </w:r>
    </w:p>
    <w:p>
      <w:r>
        <w:t>下列是待落地的项目规则示例，不表示仓库已经存在该文件。经负责人确认协议基线后，保存为项目根目录 AGENTS.md，并让 Harness 每轮先读取。目录名以当前磁盘为准；若实际主线改变，应同步修订。</w:t>
      </w:r>
    </w:p>
    <w:p>
      <w:pPr>
        <w:pStyle w:val="CodeBlock"/>
      </w:pPr>
      <w:r>
        <w:t># 项目规则</w:t>
      </w:r>
    </w:p>
    <w:p>
      <w:pPr>
        <w:pStyle w:val="CodeBlock"/>
      </w:pPr>
      <w:r>
        <w:t>- 技术栈：MaixCAM Pro 的 MaixPy/Python；STM32F407VET6 的 C、HAL、CubeMX/Keil；USART2 115200 8N1。</w:t>
      </w:r>
    </w:p>
    <w:p>
      <w:pPr>
        <w:pStyle w:val="CodeBlock"/>
      </w:pPr>
      <w:r>
        <w:t>- 目录：01_摄像头相机应用修复工程；02_STM32视觉UART通信工程；03_扫码与物体识别联合App工程。00_整理前备份只读。</w:t>
      </w:r>
    </w:p>
    <w:p>
      <w:pPr>
        <w:pStyle w:val="CodeBlock"/>
      </w:pPr>
      <w:r>
        <w:t>- 入口：视觉 03_扫码与物体识别联合App工程/qr_object_app/main.py；协议 protocol.py；STM32 02_STM32视觉UART通信工程/stm32project。</w:t>
      </w:r>
    </w:p>
    <w:p>
      <w:pPr>
        <w:pStyle w:val="CodeBlock"/>
      </w:pPr>
      <w:r>
        <w:t>- 协议：先读取已签署的基线决策单。ASCII 与 AA 55/CRC16 并存，未冻结前不得更改线上帧格式或类别编号。</w:t>
      </w:r>
    </w:p>
    <w:p>
      <w:pPr>
        <w:pStyle w:val="CodeBlock"/>
      </w:pPr>
      <w:r>
        <w:t>- 编码：一次只实现一个 SDD 子需求；保持公开接口兼容；不得把临时标定值写成常量结论。</w:t>
      </w:r>
    </w:p>
    <w:p>
      <w:pPr>
        <w:pStyle w:val="CodeBlock"/>
      </w:pPr>
      <w:r>
        <w:t>- 验证：协议改动须给真实样帧、坏帧与连续帧回放；任务状态改动须验证丢帧、多目标和跨阶段旧帧。</w:t>
      </w:r>
    </w:p>
    <w:p>
      <w:pPr>
        <w:pStyle w:val="CodeBlock"/>
      </w:pPr>
      <w:r>
        <w:t>- 交付：报告需求编号、修改文件、测试命令与结果、证据路径和未决问题；只提交本任务文件；不推送。</w:t>
      </w:r>
    </w:p>
    <w:p>
      <w:pPr>
        <w:pStyle w:val="CodeBlock"/>
      </w:pPr>
      <w:r>
        <w:t>- 安全：装车标定及 G5 未通过前，视觉自动放行保持关闭。</w:t>
      </w:r>
    </w:p>
    <w:p>
      <w:pPr>
        <w:pStyle w:val="Heading1"/>
      </w:pPr>
      <w:r>
        <w:t>6 验收记录模板与未决问题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字段</w:t>
            </w:r>
          </w:p>
        </w:tc>
        <w:tc>
          <w:tcPr>
            <w:tcW w:type="dxa" w:w="7992"/>
            <w:shd w:fill="E8EEF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填写要求</w:t>
            </w:r>
          </w:p>
        </w:tc>
      </w:tr>
      <w:t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任务与版本</w:t>
            </w:r>
          </w:p>
        </w:tc>
        <w:tc>
          <w:tcPr>
            <w:tcW w:type="dxa" w:w="7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需求编号；协议基线版本；代码提交号；设备与模型版本；执行日期。</w:t>
            </w:r>
          </w:p>
        </w:tc>
      </w:tr>
      <w:tr>
        <w:tc>
          <w:tcPr>
            <w:tcW w:type="dxa" w:w="1800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输入与预期</w:t>
            </w:r>
          </w:p>
        </w:tc>
        <w:tc>
          <w:tcPr>
            <w:tcW w:type="dxa" w:w="7992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原始日志/图像编号；测试场景；精确预期状态或输出。</w:t>
            </w:r>
          </w:p>
        </w:tc>
      </w:tr>
      <w:t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实测结果</w:t>
            </w:r>
          </w:p>
        </w:tc>
        <w:tc>
          <w:tcPr>
            <w:tcW w:type="dxa" w:w="7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测试命令、退出状态、日志与截图路径；通过/未通过；偏差。</w:t>
            </w:r>
          </w:p>
        </w:tc>
      </w:tr>
      <w:tr>
        <w:tc>
          <w:tcPr>
            <w:tcW w:type="dxa" w:w="1800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复测与追问</w:t>
            </w:r>
          </w:p>
        </w:tc>
        <w:tc>
          <w:tcPr>
            <w:tcW w:type="dxa" w:w="7992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受影响的上一阶段需求、复测结果；未决问题负责人和下轮条件。</w:t>
            </w:r>
          </w:p>
        </w:tc>
      </w:tr>
      <w:t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签署</w:t>
            </w:r>
          </w:p>
        </w:tc>
        <w:tc>
          <w:tcPr>
            <w:tcW w:type="dxa" w:w="7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4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视觉组、电控组、现场安全负责人分别确认对应项目。</w:t>
            </w:r>
          </w:p>
        </w:tc>
      </w:tr>
    </w:tbl>
    <w:p>
      <w:pPr>
        <w:spacing w:after="20"/>
      </w:pPr>
    </w:p>
    <w:p>
      <w:r>
        <w:t>待确认 1：实际采用 A、B 还是新版本 C；若采用 B，如何实现原文要求的 SET 场景、桶与 QR 业务。</w:t>
      </w:r>
    </w:p>
    <w:p>
      <w:r>
        <w:t>待确认 2：桶 label、conf 值域与阈值、目标丢失输出、同画面多目标顺序与帧率、收到 SET 后首帧延迟。</w:t>
      </w:r>
    </w:p>
    <w:p>
      <w:r>
        <w:t>待确认 3：图像坐标定义、真实工作点、距离相关偏置和最终允许误差。上述项目没有实测与双方确认前，保持“待决策/待验证”。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  <w:jc w:val="center"/>
    </w:pPr>
    <w:r>
      <w:t xml:space="preserve">2026-09-30  |  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  <w:jc w:val="right"/>
    </w:pPr>
    <w:r>
      <w:t>视觉电控联调 SDD 规范书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93" w:lineRule="auto"/>
    </w:pPr>
    <w:rPr>
      <w:rFonts w:ascii="Microsoft YaHei" w:hAnsi="Microsoft YaHei" w:eastAsia="Microsoft YaHei"/>
      <w:b w:val="0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8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ta">
    <w:name w:val="Meta"/>
    <w:basedOn w:val="Normal"/>
    <w:pPr>
      <w:spacing w:before="0" w:after="60" w:line="269" w:lineRule="auto"/>
    </w:pPr>
    <w:rPr>
      <w:rFonts w:ascii="Microsoft YaHei" w:hAnsi="Microsoft YaHei" w:eastAsia="Microsoft YaHei"/>
      <w:color w:val="000000"/>
      <w:sz w:val="17"/>
    </w:rPr>
  </w:style>
  <w:style w:type="paragraph" w:customStyle="1" w:styleId="Small">
    <w:name w:val="Small"/>
    <w:basedOn w:val="Normal"/>
    <w:pPr>
      <w:spacing w:before="0" w:after="80" w:line="269" w:lineRule="auto"/>
    </w:pPr>
    <w:rPr>
      <w:rFonts w:ascii="Microsoft YaHei" w:hAnsi="Microsoft YaHei" w:eastAsia="Microsoft YaHei"/>
      <w:color w:val="000000"/>
      <w:sz w:val="16"/>
    </w:rPr>
  </w:style>
  <w:style w:type="paragraph" w:customStyle="1" w:styleId="CodeBlock">
    <w:name w:val="CodeBlock"/>
    <w:basedOn w:val="Normal"/>
    <w:pPr>
      <w:spacing w:before="0" w:after="20" w:line="269" w:lineRule="auto"/>
      <w:ind w:left="259"/>
    </w:pPr>
    <w:rPr>
      <w:rFonts w:ascii="Consolas" w:hAnsi="Consolas" w:eastAsia="Microsoft YaHei"/>
      <w:color w:val="000000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视觉电控联调 SDD 规范书</dc:title>
  <dc:subject>Harness 驱动的需求分解与分阶段验证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