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600" w:after="280"/>
        <w:jc w:val="center"/>
      </w:pPr>
      <w:r>
        <w:t>B题第二问修订版</w:t>
      </w:r>
    </w:p>
    <w:p>
      <w:pPr>
        <w:spacing w:after="360"/>
        <w:jc w:val="center"/>
      </w:pPr>
      <w:r>
        <w:rPr>
          <w:rFonts w:ascii="Times New Roman" w:hAnsi="Times New Roman" w:eastAsia="微软雅黑"/>
          <w:b/>
          <w:sz w:val="32"/>
        </w:rPr>
        <w:t>第二检测点的安全选取与精确定位</w:t>
      </w:r>
    </w:p>
    <w:p>
      <w:pPr>
        <w:spacing w:after="80"/>
        <w:jc w:val="center"/>
      </w:pPr>
      <w:r>
        <w:rPr>
          <w:rFonts w:ascii="Times New Roman" w:hAnsi="Times New Roman" w:eastAsia="微软雅黑"/>
          <w:sz w:val="20"/>
        </w:rPr>
        <w:t>队内分享稿  审阅修订版  2026年9月11日</w:t>
      </w:r>
    </w:p>
    <w:p>
      <w:pPr>
        <w:spacing w:before="960"/>
        <w:ind w:left="1008" w:right="1008"/>
        <w:jc w:val="center"/>
      </w:pPr>
      <w:r>
        <w:rPr>
          <w:rFonts w:ascii="Times New Roman" w:hAnsi="Times New Roman" w:eastAsia="宋体"/>
          <w:sz w:val="21"/>
        </w:rPr>
        <w:t>本版本保留闭式选点结论，修正移动方式和最优性表述，并新增误差边界、近距离退化及同场景候选点检验。全部结果均为纯离线计算，未连接模拟器。</w:t>
      </w:r>
    </w:p>
    <w:p>
      <w:r>
        <w:br w:type="page"/>
      </w:r>
    </w:p>
    <w:p>
      <w:pPr>
        <w:pStyle w:val="Heading1"/>
      </w:pPr>
      <w:r>
        <w:t>一 核心结论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推荐动作：首次测向结束后，相对首次读数方向向左或向右偏转35.0968度，沿直线移动1000米，在到达点进行第二次测向。</w:t>
      </w:r>
    </w:p>
    <w:p>
      <w:pPr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7760" cy="1114376"/>
            <wp:docPr id="1" name="Picture 1" descr="第二检测点闭式坐标公式" title="第二检测点闭式坐标公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sol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114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760720" cy="716744"/>
            <wp:docPr id="2" name="Picture 2" descr="航向偏角与205秒执行时间公式" title="航向偏角与205秒执行时间公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6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其中a=818.1818米、|b|=574.9596米是同一斜向位移的两个坐标分量，不是先前进再横移。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2448"/>
        <w:gridCol w:w="2448"/>
        <w:gridCol w:w="4464"/>
      </w:tblGrid>
      <w:tr>
        <w:trPr>
          <w:tblHeader w:val="true"/>
        </w:trPr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结论</w:t>
            </w:r>
          </w:p>
        </w:tc>
        <w:tc>
          <w:tcPr>
            <w:tcW w:type="dxa" w:w="244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数值</w:t>
            </w:r>
          </w:p>
        </w:tc>
        <w:tc>
          <w:tcPr>
            <w:tcW w:type="dxa" w:w="4464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准确解释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第二检测点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(818.1818, ±574.9596) m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相对首次读数的局部坐标</w:t>
            </w:r>
          </w:p>
        </w:tc>
      </w:tr>
      <w:tr>
        <w:tc>
          <w:tcPr>
            <w:tcW w:type="dxa" w:w="244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直线航向偏角</w:t>
            </w:r>
          </w:p>
        </w:tc>
        <w:tc>
          <w:tcPr>
            <w:tcW w:type="dxa" w:w="244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±35.0968°</w:t>
            </w:r>
          </w:p>
        </w:tc>
        <w:tc>
          <w:tcPr>
            <w:tcW w:type="dxa" w:w="446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左右两个对称分支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移动与第二次测向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205 s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首次测向结束后，同频道</w:t>
            </w:r>
          </w:p>
        </w:tc>
      </w:tr>
      <w:tr>
        <w:tc>
          <w:tcPr>
            <w:tcW w:type="dxa" w:w="244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名义一阶最坏直径</w:t>
            </w:r>
          </w:p>
        </w:tc>
        <w:tc>
          <w:tcPr>
            <w:tcW w:type="dxa" w:w="244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122.1855 m</w:t>
            </w:r>
          </w:p>
        </w:tc>
        <w:tc>
          <w:tcPr>
            <w:tcW w:type="dxa" w:w="446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不是全部误差组合的精确上界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全精度边界场景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135.1846 m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合法场景值，未证明为全局最大值</w:t>
            </w:r>
          </w:p>
        </w:tc>
      </w:tr>
    </w:tbl>
    <w:p>
      <w:pPr>
        <w:spacing w:after="20"/>
      </w:pP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最优性口径：本点是在解析充分安全域内，对首次中心线名义源采用一阶误差带，并以最坏径向定位直径为目标得到的闭式最优解。它不等于所有允许误差、后续清除路径和附加障碍共同作用下的无条件全局最优解。</w:t>
      </w:r>
    </w:p>
    <w:p>
      <w:pPr>
        <w:pStyle w:val="Heading1"/>
      </w:pPr>
      <w:r>
        <w:t>二 为什么采用分层模型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题目同时要求第二次接收可靠、定位效果较好和时间可控。若直接把误差与时间线性加权，权重没有题设依据，且会改变最终坐标。本文采用硬约束与单目标相结合的方式。</w:t>
      </w:r>
    </w:p>
    <w:p>
      <w:pPr>
        <w:pStyle w:val="ListBullet"/>
        <w:spacing w:line="300" w:lineRule="auto" w:after="60"/>
      </w:pPr>
      <w:r>
        <w:rPr>
          <w:rFonts w:ascii="Times New Roman" w:hAnsi="Times New Roman" w:eastAsia="宋体"/>
          <w:sz w:val="21"/>
        </w:rPr>
        <w:t>第一层把第二次仍能接收信号作为硬约束，构造可证明的解析安全域。</w:t>
      </w:r>
    </w:p>
    <w:p>
      <w:pPr>
        <w:pStyle w:val="ListBullet"/>
        <w:spacing w:line="300" w:lineRule="auto" w:after="60"/>
      </w:pPr>
      <w:r>
        <w:rPr>
          <w:rFonts w:ascii="Times New Roman" w:hAnsi="Times New Roman" w:eastAsia="宋体"/>
          <w:sz w:val="21"/>
        </w:rPr>
        <w:t>第二层在安全域内最小化名义一阶最坏径向定位直径。</w:t>
      </w:r>
    </w:p>
    <w:p>
      <w:pPr>
        <w:pStyle w:val="ListBullet"/>
        <w:spacing w:line="300" w:lineRule="auto" w:after="60"/>
      </w:pPr>
      <w:r>
        <w:rPr>
          <w:rFonts w:ascii="Times New Roman" w:hAnsi="Times New Roman" w:eastAsia="宋体"/>
          <w:sz w:val="21"/>
        </w:rPr>
        <w:t>第三层单独计算执行时间，不用经验权重把秒与米强行相加。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如果后续获得明确的工程精度门槛D0，可改用“在D≤D0条件下最小化时间”的约束模型；当前题面没有给出该门槛，因此不在第二问中任意设定。</w:t>
      </w:r>
    </w:p>
    <w:p>
      <w:pPr>
        <w:pStyle w:val="Heading1"/>
      </w:pPr>
      <w:r>
        <w:t>三 解析安全域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设首次读数方向单位向量为u，左法向为v，第二点位移写成a u+b v。只考虑前向候选a≥0，并要求b≠0；b=0会使两次测向趋于共线。干扰源真实方向相对读数偏差δ满足|δ|≤α，α=1度。令q=a²+b²及η=a cosα−|b| sinα，则有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‖S₂−G‖²≤r²+q−2rη。对r≤1000检查该凸二次式的两个端点，对r≥1000利用首次已接收这一事实，可得到下式充分条件。</w:t>
      </w:r>
    </w:p>
    <w:p>
      <w:pPr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1560"/>
            <wp:docPr id="3" name="Picture 3" descr="第二检测点解析充分安全域公式" title="第二检测点解析充分安全域公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saf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该区域等价于三个半径1000米圆盘的交集。安全性由连续不等式保证，20,000个随机场景全部保留信号只是程序核验，不能反过来代替证明。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697480" cy="4581716"/>
            <wp:docPr id="4" name="Picture 4" descr="图1 解析安全域及左右对称的闭式点" title="图1 解析安全域及左右对称的闭式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afe_region_and_optim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4581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eastAsia="宋体"/>
          <w:sz w:val="18"/>
        </w:rPr>
        <w:t>图1 解析安全域及左右对称的闭式点</w:t>
      </w:r>
    </w:p>
    <w:p>
      <w:pPr>
        <w:pStyle w:val="Heading1"/>
      </w:pPr>
      <w:r>
        <w:t>四 闭式解的计算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把首次读数中心线设为x轴，先考察名义源G=(r,0)。两条±1度窄角形在干扰源邻域内可一阶近似为误差带，其交集平行四边形的两条半对角线为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h₁²=tan²α[r²+(L²−ar)²/b²]，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h₂²=tan²α[r²+(2r²−3ar+L²)²/b²]。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由h₂²−h₁²的符号与单调性可知，所有名义径向距离中的最坏点为r=1500米。令a=Lx、|b|=L√(1−x²)，目标化为</w:t>
      </w:r>
    </w:p>
    <w:p>
      <w:pPr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6440" cy="813859"/>
            <wp:docPr id="5" name="Picture 5" descr="名义一阶最坏径向定位直径目标函数" title="名义一阶最坏径向定位直径目标函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object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1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在放宽的方向区间0&lt;x&lt;1上，对固定L求导得唯一极小点x₀=B/A，其目标下界为g(L)=R²+A²−B²=(2R²/L−L)²。g(L)在0&lt;L≤1000上严格递减，所以任何L&lt;1000的安全点都严格劣于g(1000)。L=1000、x₀=9/11又可直接验证满足安全约束，因此它达到全安全域下界，是该限定模型中的全局最优点。进而J*=7000tan1°=122.1855米。整个过程没有网格步长和训练样本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68797"/>
            <wp:docPr id="6" name="Picture 6" descr="图2 一阶目标函数和名义最远场景的精确交会校核" title="图2 一阶目标函数和名义最远场景的精确交会校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iameter_objecti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68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eastAsia="宋体"/>
          <w:sz w:val="18"/>
        </w:rPr>
        <w:t>图2 一阶目标函数和名义最远场景的精确交会校核</w:t>
      </w:r>
    </w:p>
    <w:p>
      <w:pPr>
        <w:pStyle w:val="Heading1"/>
      </w:pPr>
      <w:r>
        <w:t>五 精确定位算法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一阶误差带只用于选点。第二次读数取得后，仍按问题一的精确角形模型计算Pang=W1∩W2，并求D=max‖X−Y‖。精确交集是凸定位集合，通常为四边形，也可能是三角形、线段或单点。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修订程序枚举每对非平行边界的交点，检查其是否满足全部半平面，再构造凸包。因此半平面交的实际复杂度为O(m³)，而不是笼统声称O(n log n)。非退化凸多边形再用O(k)旋转卡壳求直径；单点和线段直接返回。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当两点均返回示向度时，可由源域和接收半径上界取保守收缩集合F2=Ω∩W1∩W2∩B(S1,1500)∩B(S2,1500)。若第二点返回near，则没有W2，应直接进入清除分支。F2含圆弧，实际求直径需用圆弧几何或保守多边形近似，不能直接套用纯多边形旋转卡壳。本文主表仍采用与问题一一致的Pang；半径1800米目标圆域约束干扰源，不约束机器狗。</w:t>
      </w:r>
    </w:p>
    <w:p>
      <w:pPr>
        <w:pStyle w:val="Heading1"/>
      </w:pPr>
      <w:r>
        <w:t>六 确定性检验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3672"/>
        <w:gridCol w:w="1944"/>
        <w:gridCol w:w="3744"/>
      </w:tblGrid>
      <w:tr>
        <w:trPr>
          <w:tblHeader w:val="true"/>
        </w:trPr>
        <w:tc>
          <w:tcPr>
            <w:tcW w:type="dxa" w:w="3672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场景</w:t>
            </w:r>
          </w:p>
        </w:tc>
        <w:tc>
          <w:tcPr>
            <w:tcW w:type="dxa" w:w="1944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精确直径</w:t>
            </w:r>
          </w:p>
        </w:tc>
        <w:tc>
          <w:tcPr>
            <w:tcW w:type="dxa" w:w="3744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r=1500 m 零误差名义场景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122.462636 m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0.2263%只对该场景成立</w:t>
            </w:r>
          </w:p>
        </w:tc>
      </w:tr>
      <w:tr>
        <w:tc>
          <w:tcPr>
            <w:tcW w:type="dxa" w:w="3672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全精度误差边界反例</w:t>
            </w:r>
          </w:p>
        </w:tc>
        <w:tc>
          <w:tcPr>
            <w:tcW w:type="dxa" w:w="194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135.184560 m</w:t>
            </w:r>
          </w:p>
        </w:tc>
        <w:tc>
          <w:tcPr>
            <w:tcW w:type="dxa" w:w="374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否定122.1855 m为全误差上界</w:t>
            </w:r>
          </w:p>
        </w:tc>
      </w:tr>
      <w:t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G=(10,0) 零误差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40.104270 m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精确交集为三角形；一阶为60.221770 m</w:t>
            </w:r>
          </w:p>
        </w:tc>
      </w:tr>
      <w:tr>
        <w:tc>
          <w:tcPr>
            <w:tcW w:type="dxa" w:w="3672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45°安全候选点 同一名义场景</w:t>
            </w:r>
          </w:p>
        </w:tc>
        <w:tc>
          <w:tcPr>
            <w:tcW w:type="dxa" w:w="194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126.116408 m</w:t>
            </w:r>
          </w:p>
        </w:tc>
        <w:tc>
          <w:tcPr>
            <w:tcW w:type="dxa" w:w="374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闭式点为122.462636 m；两者均205 s</w:t>
            </w:r>
          </w:p>
        </w:tc>
      </w:tr>
    </w:tbl>
    <w:p>
      <w:pPr>
        <w:spacing w:after="20"/>
      </w:pP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边界反例使用G=1500(cos1°,sin1°)，第一次误差−1°，第二次真实方位321.160771571°、误差+1°，读数322.160771571°。135.184560米是合法场景值，但尚未证明是连续误差空间中的全局最大值。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284814"/>
            <wp:docPr id="7" name="Picture 7" descr="图3 全精度误差边界 近距离三角形及同场景候选点对照" title="图3 全精度误差边界 近距离三角形及同场景候选点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eterministic_check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8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eastAsia="宋体"/>
          <w:sz w:val="18"/>
        </w:rPr>
        <w:t>图3 全精度误差边界 近距离三角形及同场景候选点对照</w:t>
      </w:r>
    </w:p>
    <w:p>
      <w:pPr>
        <w:pStyle w:val="Heading1"/>
      </w:pPr>
      <w:r>
        <w:t>七 二万场纯离线验证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随机种子20260921下生成20,000个自设场景。该分布只用于检查固定闭式点和程序稳定性，不是题设先验，也不参与选点。</w:t>
      </w:r>
    </w:p>
    <w:tbl>
      <w:tblPr>
        <w:tblStyle w:val="TableGrid"/>
        <w:tblW w:type="dxa" w:w="8711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2376"/>
        <w:gridCol w:w="1094"/>
        <w:gridCol w:w="1094"/>
        <w:gridCol w:w="1008"/>
        <w:gridCol w:w="1008"/>
        <w:gridCol w:w="1008"/>
        <w:gridCol w:w="1123"/>
      </w:tblGrid>
      <w:tr>
        <w:trPr>
          <w:tblHeader w:val="true"/>
        </w:trPr>
        <w:tc>
          <w:tcPr>
            <w:tcW w:type="dxa" w:w="2376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指标</w:t>
            </w:r>
          </w:p>
        </w:tc>
        <w:tc>
          <w:tcPr>
            <w:tcW w:type="dxa" w:w="1094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均值</w:t>
            </w:r>
          </w:p>
        </w:tc>
        <w:tc>
          <w:tcPr>
            <w:tcW w:type="dxa" w:w="1094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中位数</w:t>
            </w:r>
          </w:p>
        </w:tc>
        <w:tc>
          <w:tcPr>
            <w:tcW w:type="dxa" w:w="100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P90</w:t>
            </w:r>
          </w:p>
        </w:tc>
        <w:tc>
          <w:tcPr>
            <w:tcW w:type="dxa" w:w="100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P95</w:t>
            </w:r>
          </w:p>
        </w:tc>
        <w:tc>
          <w:tcPr>
            <w:tcW w:type="dxa" w:w="1008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P99</w:t>
            </w:r>
          </w:p>
        </w:tc>
        <w:tc>
          <w:tcPr>
            <w:tcW w:type="dxa" w:w="1123"/>
            <w:shd w:fill="DCE6F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最大值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定位直径 m</w:t>
            </w:r>
          </w:p>
        </w:tc>
        <w:tc>
          <w:tcPr>
            <w:tcW w:type="dxa" w:w="10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49.39</w:t>
            </w:r>
          </w:p>
        </w:tc>
        <w:tc>
          <w:tcPr>
            <w:tcW w:type="dxa" w:w="10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43.52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73.73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86.40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104.80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127.49</w:t>
            </w:r>
          </w:p>
        </w:tc>
      </w:tr>
      <w:tr>
        <w:tc>
          <w:tcPr>
            <w:tcW w:type="dxa" w:w="2376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最小包围圆半径 m</w:t>
            </w:r>
          </w:p>
        </w:tc>
        <w:tc>
          <w:tcPr>
            <w:tcW w:type="dxa" w:w="109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24.70</w:t>
            </w:r>
          </w:p>
        </w:tc>
        <w:tc>
          <w:tcPr>
            <w:tcW w:type="dxa" w:w="1094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21.76</w:t>
            </w:r>
          </w:p>
        </w:tc>
        <w:tc>
          <w:tcPr>
            <w:tcW w:type="dxa" w:w="100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36.87</w:t>
            </w:r>
          </w:p>
        </w:tc>
        <w:tc>
          <w:tcPr>
            <w:tcW w:type="dxa" w:w="100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43.20</w:t>
            </w:r>
          </w:p>
        </w:tc>
        <w:tc>
          <w:tcPr>
            <w:tcW w:type="dxa" w:w="1008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52.40</w:t>
            </w:r>
          </w:p>
        </w:tc>
        <w:tc>
          <w:tcPr>
            <w:tcW w:type="dxa" w:w="1123"/>
            <w:shd w:fill="F7F9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63.74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交会锐角 °</w:t>
            </w:r>
          </w:p>
        </w:tc>
        <w:tc>
          <w:tcPr>
            <w:tcW w:type="dxa" w:w="10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67.41</w:t>
            </w:r>
          </w:p>
        </w:tc>
        <w:tc>
          <w:tcPr>
            <w:tcW w:type="dxa" w:w="10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68.18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85.56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87.76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89.54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90.00</w:t>
            </w:r>
          </w:p>
        </w:tc>
      </w:tr>
    </w:tbl>
    <w:p>
      <w:pPr>
        <w:spacing w:after="20"/>
      </w:pP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第二点信号保留、有效定位集合和真实源包含率在样本中均为100%。修订前后相同样本的直径最大差为4.69×10⁻¹³米，最小包围圆半径最大差为5.57×10⁻¹²米，说明退化支持没有改变原有非退化结果。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最小包围圆半径不超过20米的样本比例为37.905%。它只表示自设分布下的圆覆盖比例，不是第三问的清除成功率，也不是题设概率。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668302"/>
            <wp:docPr id="8" name="Picture 8" descr="图4 固定闭式点在20,000个自设场景下的离线统计" title="图4 固定闭式点在20,000个自设场景下的离线统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imulation_valid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68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eastAsia="宋体"/>
          <w:sz w:val="18"/>
        </w:rPr>
        <w:t>图4 固定闭式点在20,000个自设场景下的离线统计</w:t>
      </w:r>
    </w:p>
    <w:p>
      <w:pPr>
        <w:pStyle w:val="Heading1"/>
      </w:pPr>
      <w:r>
        <w:t>八 论文表述边界</w:t>
      </w:r>
    </w:p>
    <w:p>
      <w:pPr>
        <w:pStyle w:val="ListBullet"/>
        <w:spacing w:line="300" w:lineRule="auto" w:after="60"/>
      </w:pPr>
      <w:r>
        <w:rPr>
          <w:rFonts w:ascii="Times New Roman" w:hAnsi="Times New Roman" w:eastAsia="宋体"/>
          <w:sz w:val="21"/>
        </w:rPr>
        <w:t>122.1855米是名义一阶最坏径向值；122.4626米是零误差名义精确值；127.4873米是随机样本最大值；135.1846米是一个合法边界场景值。</w:t>
      </w:r>
    </w:p>
    <w:p>
      <w:pPr>
        <w:pStyle w:val="ListBullet"/>
        <w:spacing w:line="300" w:lineRule="auto" w:after="60"/>
      </w:pPr>
      <w:r>
        <w:rPr>
          <w:rFonts w:ascii="Times New Roman" w:hAnsi="Times New Roman" w:eastAsia="宋体"/>
          <w:sz w:val="21"/>
        </w:rPr>
        <w:t>不能写成交集一定是四边形，也不能把最远点对直径的一半直接当作最小包围圆半径。</w:t>
      </w:r>
    </w:p>
    <w:p>
      <w:pPr>
        <w:pStyle w:val="ListBullet"/>
        <w:spacing w:line="300" w:lineRule="auto" w:after="60"/>
      </w:pPr>
      <w:r>
        <w:rPr>
          <w:rFonts w:ascii="Times New Roman" w:hAnsi="Times New Roman" w:eastAsia="宋体"/>
          <w:sz w:val="21"/>
        </w:rPr>
        <w:t>第二检测点不是清除点。只有最终可行集的最小包围圆半径不超过20米时，移至圆心才可保证一次光学覆盖；否则需要追加测向、搜索或覆盖路径。</w:t>
      </w:r>
    </w:p>
    <w:p>
      <w:pPr>
        <w:pStyle w:val="ListBullet"/>
        <w:spacing w:line="300" w:lineRule="auto" w:after="60"/>
      </w:pPr>
      <w:r>
        <w:rPr>
          <w:rFonts w:ascii="Times New Roman" w:hAnsi="Times New Roman" w:eastAsia="宋体"/>
          <w:sz w:val="21"/>
        </w:rPr>
        <w:t>障碍物、必须留在目标圆内及后续巡检方向属于扩展条件，不能当成题目已给约束。</w:t>
      </w:r>
    </w:p>
    <w:p>
      <w:pPr>
        <w:pStyle w:val="Heading1"/>
      </w:pPr>
      <w:r>
        <w:t>九 文件使用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优先阅读第二问论文正文.md和第二问思路讲解.md。若只需要复核边界数值，在本目录运行：</w:t>
      </w:r>
    </w:p>
    <w:p>
      <w:pPr>
        <w:spacing w:before="40" w:after="100"/>
        <w:ind w:left="360" w:right="360"/>
        <w:shd w:fill="F2F4F6"/>
      </w:pPr>
      <w:r>
        <w:rPr>
          <w:rFonts w:ascii="Consolas" w:hAnsi="Consolas" w:eastAsia="微软雅黑"/>
          <w:sz w:val="17"/>
        </w:rPr>
        <w:t>python q2_validation.py --deterministic-only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运行19项回归测试：</w:t>
      </w:r>
    </w:p>
    <w:p>
      <w:pPr>
        <w:spacing w:before="40" w:after="100"/>
        <w:ind w:left="360" w:right="360"/>
        <w:shd w:fill="F2F4F6"/>
      </w:pPr>
      <w:r>
        <w:rPr>
          <w:rFonts w:ascii="Consolas" w:hAnsi="Consolas" w:eastAsia="微软雅黑"/>
          <w:sz w:val="17"/>
        </w:rPr>
        <w:t>python -m unittest -v test_question2.py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重新生成20,000条离线样本会覆盖CSV和JSON；仅在需要复算时运行：</w:t>
      </w:r>
    </w:p>
    <w:p>
      <w:pPr>
        <w:spacing w:before="40" w:after="100"/>
        <w:ind w:left="360" w:right="360"/>
        <w:shd w:fill="F2F4F6"/>
      </w:pPr>
      <w:r>
        <w:rPr>
          <w:rFonts w:ascii="Consolas" w:hAnsi="Consolas" w:eastAsia="微软雅黑"/>
          <w:sz w:val="17"/>
        </w:rPr>
        <w:t>python q2_validation.py --scenarios 20000 --seed 20260921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重新生成四组图：</w:t>
      </w:r>
    </w:p>
    <w:p>
      <w:pPr>
        <w:spacing w:before="40" w:after="100"/>
        <w:ind w:left="360" w:right="360"/>
        <w:shd w:fill="F2F4F6"/>
      </w:pPr>
      <w:r>
        <w:rPr>
          <w:rFonts w:ascii="Consolas" w:hAnsi="Consolas" w:eastAsia="微软雅黑"/>
          <w:sz w:val="17"/>
        </w:rPr>
        <w:t>python generate_figures.py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1"/>
        </w:rPr>
        <w:t>以上程序不需要Jammers Simulator。本阶段不要把文件放入模拟器插件目录，也不要执行任何模拟器对接或正式测试。</w:t>
      </w:r>
    </w:p>
    <w:p>
      <w:pPr>
        <w:pStyle w:val="Heading1"/>
      </w:pPr>
      <w:r>
        <w:t>十 队友交接清单</w:t>
      </w:r>
    </w:p>
    <w:p>
      <w:pPr>
        <w:pStyle w:val="ListBullet"/>
        <w:spacing w:line="300" w:lineRule="auto" w:after="60"/>
      </w:pPr>
      <w:r>
        <w:rPr>
          <w:rFonts w:ascii="Times New Roman" w:hAnsi="Times New Roman" w:eastAsia="宋体"/>
          <w:sz w:val="21"/>
        </w:rPr>
        <w:t>正文可直接采用式S2=S1+(9000/11)u±(2000√10/11)v。</w:t>
      </w:r>
    </w:p>
    <w:p>
      <w:pPr>
        <w:pStyle w:val="ListBullet"/>
        <w:spacing w:line="300" w:lineRule="auto" w:after="60"/>
      </w:pPr>
      <w:r>
        <w:rPr>
          <w:rFonts w:ascii="Times New Roman" w:hAnsi="Times New Roman" w:eastAsia="宋体"/>
          <w:sz w:val="21"/>
        </w:rPr>
        <w:t>行动描述统一写成偏转35.0968度后直线移动1000米。</w:t>
      </w:r>
    </w:p>
    <w:p>
      <w:pPr>
        <w:pStyle w:val="ListBullet"/>
        <w:spacing w:line="300" w:lineRule="auto" w:after="60"/>
      </w:pPr>
      <w:r>
        <w:rPr>
          <w:rFonts w:ascii="Times New Roman" w:hAnsi="Times New Roman" w:eastAsia="宋体"/>
          <w:sz w:val="21"/>
        </w:rPr>
        <w:t>在摘要和结论处保留最优性限定语。</w:t>
      </w:r>
    </w:p>
    <w:p>
      <w:pPr>
        <w:pStyle w:val="ListBullet"/>
        <w:spacing w:line="300" w:lineRule="auto" w:after="60"/>
      </w:pPr>
      <w:r>
        <w:rPr>
          <w:rFonts w:ascii="Times New Roman" w:hAnsi="Times New Roman" w:eastAsia="宋体"/>
          <w:sz w:val="21"/>
        </w:rPr>
        <w:t>图1至图4分别对应安全域、闭式目标、确定性边界检验和随机离线统计。</w:t>
      </w:r>
    </w:p>
    <w:p>
      <w:pPr>
        <w:pStyle w:val="ListBullet"/>
        <w:spacing w:line="300" w:lineRule="auto" w:after="60"/>
      </w:pPr>
      <w:r>
        <w:rPr>
          <w:rFonts w:ascii="Times New Roman" w:hAnsi="Times New Roman" w:eastAsia="宋体"/>
          <w:sz w:val="21"/>
        </w:rPr>
        <w:t>第三、四问接续时，应重新评价总时间和清除效果，不能把第二问直径最优直接外推。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