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jc w:val="left"/>
        <w:rPr>
          <w:rFonts w:eastAsia="仿宋_GB2312"/>
          <w:sz w:val="30"/>
        </w:rPr>
      </w:pPr>
      <w:r>
        <w:rPr>
          <w:rFonts w:hint="eastAsia" w:eastAsia="仿宋_GB2312"/>
          <w:sz w:val="30"/>
        </w:rPr>
        <w:t>自  选  类</w:t>
      </w:r>
      <w:r>
        <w:rPr>
          <w:rFonts w:hint="eastAsia" w:eastAsia="仿宋_GB2312"/>
          <w:sz w:val="30"/>
        </w:rPr>
        <w:sym w:font="Wingdings 2" w:char="F052"/>
      </w:r>
      <w:r>
        <w:rPr>
          <w:rFonts w:hint="eastAsia" w:eastAsia="仿宋_GB2312"/>
          <w:sz w:val="30"/>
          <w:lang w:val="en-US" w:eastAsia="zh-CN"/>
        </w:rPr>
        <w:t xml:space="preserve">                       </w:t>
      </w:r>
      <w:r>
        <w:rPr>
          <w:rFonts w:hint="eastAsia" w:eastAsia="仿宋_GB2312"/>
          <w:sz w:val="30"/>
        </w:rPr>
        <w:t>项目编号：</w:t>
      </w:r>
      <w:r>
        <w:rPr>
          <w:rFonts w:hint="eastAsia" w:eastAsia="仿宋_GB2312"/>
          <w:sz w:val="30"/>
          <w:u w:val="single"/>
        </w:rPr>
        <w:t xml:space="preserve">  </w:t>
      </w:r>
      <w:r>
        <w:rPr>
          <w:rFonts w:hint="default" w:ascii="Times New Roman" w:hAnsi="Times New Roman" w:eastAsia="仿宋_GB2312" w:cs="Times New Roman"/>
          <w:b/>
          <w:bCs/>
          <w:sz w:val="30"/>
          <w:u w:val="single"/>
          <w:lang w:val="en-US" w:eastAsia="zh-CN"/>
        </w:rPr>
        <w:t>202310</w:t>
      </w:r>
      <w:r>
        <w:rPr>
          <w:rFonts w:hint="eastAsia" w:eastAsia="仿宋_GB2312"/>
          <w:sz w:val="30"/>
          <w:u w:val="single"/>
        </w:rPr>
        <w:t xml:space="preserve">   </w:t>
      </w:r>
    </w:p>
    <w:p>
      <w:pPr>
        <w:wordWrap/>
        <w:jc w:val="left"/>
        <w:rPr>
          <w:rFonts w:eastAsia="仿宋_GB2312"/>
          <w:sz w:val="30"/>
        </w:rPr>
      </w:pPr>
      <w:r>
        <w:rPr>
          <w:rFonts w:hint="eastAsia" w:eastAsia="仿宋_GB2312"/>
          <w:sz w:val="30"/>
        </w:rPr>
        <w:t>工程科研类□</w:t>
      </w:r>
      <w:r>
        <w:rPr>
          <w:rFonts w:hint="eastAsia" w:eastAsia="仿宋_GB2312"/>
          <w:sz w:val="30"/>
          <w:lang w:val="en-US" w:eastAsia="zh-CN"/>
        </w:rPr>
        <w:t xml:space="preserve">                     </w:t>
      </w:r>
      <w:r>
        <w:rPr>
          <w:rFonts w:eastAsia="仿宋_GB2312"/>
          <w:sz w:val="30"/>
        </w:rPr>
        <w:t xml:space="preserve">            </w:t>
      </w:r>
    </w:p>
    <w:p>
      <w:pPr>
        <w:jc w:val="center"/>
        <w:rPr>
          <w:rFonts w:hint="eastAsia" w:eastAsia="仿宋_GB2312"/>
          <w:sz w:val="42"/>
        </w:rPr>
      </w:pPr>
    </w:p>
    <w:p>
      <w:pPr>
        <w:jc w:val="center"/>
        <w:rPr>
          <w:rFonts w:hint="eastAsia" w:eastAsia="仿宋_GB2312"/>
          <w:sz w:val="42"/>
        </w:rPr>
      </w:pPr>
    </w:p>
    <w:p>
      <w:pPr>
        <w:jc w:val="center"/>
        <w:rPr>
          <w:rFonts w:hint="eastAsia" w:eastAsia="仿宋_GB2312"/>
          <w:sz w:val="42"/>
        </w:rPr>
      </w:pPr>
    </w:p>
    <w:p>
      <w:pPr>
        <w:spacing w:line="240" w:lineRule="auto"/>
        <w:jc w:val="center"/>
        <w:rPr>
          <w:rFonts w:eastAsia="仿宋_GB2312"/>
          <w:sz w:val="54"/>
          <w:szCs w:val="36"/>
        </w:rPr>
      </w:pPr>
      <w:r>
        <w:rPr>
          <w:rFonts w:hint="eastAsia" w:eastAsia="仿宋_GB2312"/>
          <w:sz w:val="54"/>
          <w:szCs w:val="36"/>
          <w:lang w:val="en-US" w:eastAsia="zh-CN"/>
        </w:rPr>
        <w:t>技术研究</w:t>
      </w:r>
      <w:r>
        <w:rPr>
          <w:rFonts w:eastAsia="仿宋_GB2312"/>
          <w:sz w:val="54"/>
          <w:szCs w:val="36"/>
        </w:rPr>
        <w:t>报告</w:t>
      </w:r>
    </w:p>
    <w:p>
      <w:pPr>
        <w:adjustRightInd w:val="0"/>
        <w:snapToGrid w:val="0"/>
        <w:spacing w:line="360" w:lineRule="auto"/>
        <w:jc w:val="both"/>
        <w:rPr>
          <w:rFonts w:eastAsia="仿宋_GB2312"/>
          <w:b/>
          <w:spacing w:val="60"/>
          <w:sz w:val="44"/>
        </w:rPr>
      </w:pPr>
    </w:p>
    <w:p>
      <w:pPr>
        <w:adjustRightInd w:val="0"/>
        <w:snapToGrid w:val="0"/>
        <w:spacing w:line="360" w:lineRule="auto"/>
        <w:jc w:val="both"/>
        <w:rPr>
          <w:rFonts w:eastAsia="仿宋_GB2312"/>
          <w:b/>
          <w:spacing w:val="60"/>
          <w:sz w:val="44"/>
        </w:rPr>
      </w:pPr>
    </w:p>
    <w:p>
      <w:pPr>
        <w:adjustRightInd w:val="0"/>
        <w:snapToGrid w:val="0"/>
        <w:spacing w:line="360" w:lineRule="auto"/>
        <w:jc w:val="center"/>
        <w:rPr>
          <w:rFonts w:eastAsia="仿宋_GB2312"/>
          <w:b/>
          <w:spacing w:val="60"/>
          <w:sz w:val="44"/>
        </w:rPr>
      </w:pPr>
    </w:p>
    <w:p>
      <w:pPr>
        <w:adjustRightInd w:val="0"/>
        <w:snapToGrid w:val="0"/>
        <w:spacing w:line="360" w:lineRule="auto"/>
        <w:jc w:val="both"/>
        <w:rPr>
          <w:rFonts w:eastAsia="仿宋_GB2312"/>
          <w:b/>
          <w:spacing w:val="60"/>
          <w:sz w:val="44"/>
        </w:rPr>
      </w:pPr>
    </w:p>
    <w:p>
      <w:pPr>
        <w:adjustRightInd w:val="0"/>
        <w:snapToGrid w:val="0"/>
        <w:spacing w:line="360" w:lineRule="auto"/>
        <w:jc w:val="both"/>
        <w:rPr>
          <w:rFonts w:eastAsia="仿宋_GB2312"/>
          <w:b/>
          <w:spacing w:val="60"/>
          <w:sz w:val="44"/>
        </w:rPr>
      </w:pPr>
    </w:p>
    <w:p>
      <w:pPr>
        <w:adjustRightInd w:val="0"/>
        <w:snapToGrid w:val="0"/>
        <w:spacing w:line="360" w:lineRule="auto"/>
        <w:jc w:val="both"/>
        <w:rPr>
          <w:rFonts w:eastAsia="仿宋_GB2312"/>
          <w:b/>
          <w:spacing w:val="60"/>
          <w:sz w:val="44"/>
        </w:rPr>
      </w:pPr>
    </w:p>
    <w:p>
      <w:pPr>
        <w:adjustRightInd w:val="0"/>
        <w:snapToGrid w:val="0"/>
        <w:spacing w:line="360" w:lineRule="auto"/>
        <w:jc w:val="both"/>
        <w:rPr>
          <w:rFonts w:eastAsia="仿宋_GB2312"/>
          <w:b/>
          <w:spacing w:val="60"/>
          <w:sz w:val="44"/>
        </w:rPr>
      </w:pPr>
    </w:p>
    <w:tbl>
      <w:tblPr>
        <w:tblStyle w:val="5"/>
        <w:tblpPr w:leftFromText="180" w:rightFromText="180" w:vertAnchor="text" w:horzAnchor="page" w:tblpX="2117" w:tblpY="268"/>
        <w:tblOverlap w:val="never"/>
        <w:tblW w:w="0" w:type="auto"/>
        <w:tblInd w:w="0" w:type="dxa"/>
        <w:tblLayout w:type="autofit"/>
        <w:tblCellMar>
          <w:top w:w="0" w:type="dxa"/>
          <w:left w:w="108" w:type="dxa"/>
          <w:bottom w:w="0" w:type="dxa"/>
          <w:right w:w="108" w:type="dxa"/>
        </w:tblCellMar>
      </w:tblPr>
      <w:tblGrid>
        <w:gridCol w:w="2503"/>
        <w:gridCol w:w="5371"/>
      </w:tblGrid>
      <w:tr>
        <w:tblPrEx>
          <w:tblCellMar>
            <w:top w:w="0" w:type="dxa"/>
            <w:left w:w="108" w:type="dxa"/>
            <w:bottom w:w="0" w:type="dxa"/>
            <w:right w:w="108" w:type="dxa"/>
          </w:tblCellMar>
        </w:tblPrEx>
        <w:trPr>
          <w:trHeight w:val="680" w:hRule="atLeast"/>
        </w:trPr>
        <w:tc>
          <w:tcPr>
            <w:tcW w:w="2503" w:type="dxa"/>
            <w:noWrap w:val="0"/>
            <w:vAlign w:val="center"/>
          </w:tcPr>
          <w:p>
            <w:pPr>
              <w:adjustRightInd w:val="0"/>
              <w:snapToGrid w:val="0"/>
              <w:spacing w:line="240" w:lineRule="auto"/>
              <w:jc w:val="distribute"/>
              <w:rPr>
                <w:rFonts w:eastAsia="仿宋_GB2312"/>
                <w:spacing w:val="60"/>
                <w:sz w:val="44"/>
              </w:rPr>
            </w:pPr>
            <w:r>
              <w:rPr>
                <w:rFonts w:eastAsia="仿宋_GB2312"/>
                <w:sz w:val="30"/>
                <w:szCs w:val="30"/>
              </w:rPr>
              <w:t>项 目 名 称：</w:t>
            </w:r>
          </w:p>
        </w:tc>
        <w:tc>
          <w:tcPr>
            <w:tcW w:w="5371" w:type="dxa"/>
            <w:tcBorders>
              <w:bottom w:val="single" w:color="auto" w:sz="4" w:space="0"/>
            </w:tcBorders>
            <w:noWrap w:val="0"/>
            <w:vAlign w:val="center"/>
          </w:tcPr>
          <w:p>
            <w:pPr>
              <w:adjustRightInd w:val="0"/>
              <w:snapToGrid w:val="0"/>
              <w:spacing w:line="240" w:lineRule="auto"/>
              <w:jc w:val="center"/>
              <w:rPr>
                <w:rFonts w:eastAsia="仿宋_GB2312"/>
                <w:b/>
                <w:spacing w:val="60"/>
                <w:sz w:val="30"/>
                <w:szCs w:val="30"/>
              </w:rPr>
            </w:pPr>
            <w:r>
              <w:rPr>
                <w:rFonts w:hint="eastAsia" w:ascii="Times New Roman" w:hAnsi="Times New Roman" w:eastAsia="仿宋_GB2312" w:cs="Times New Roman"/>
                <w:b/>
                <w:spacing w:val="60"/>
                <w:sz w:val="30"/>
                <w:szCs w:val="30"/>
              </w:rPr>
              <w:t>基于Bentley平台的三维开挖工具研发V1.0</w:t>
            </w:r>
          </w:p>
        </w:tc>
      </w:tr>
      <w:tr>
        <w:tblPrEx>
          <w:tblCellMar>
            <w:top w:w="0" w:type="dxa"/>
            <w:left w:w="108" w:type="dxa"/>
            <w:bottom w:w="0" w:type="dxa"/>
            <w:right w:w="108" w:type="dxa"/>
          </w:tblCellMar>
        </w:tblPrEx>
        <w:trPr>
          <w:trHeight w:val="680" w:hRule="atLeast"/>
        </w:trPr>
        <w:tc>
          <w:tcPr>
            <w:tcW w:w="2503" w:type="dxa"/>
            <w:noWrap w:val="0"/>
            <w:vAlign w:val="center"/>
          </w:tcPr>
          <w:p>
            <w:pPr>
              <w:adjustRightInd w:val="0"/>
              <w:snapToGrid w:val="0"/>
              <w:spacing w:line="240" w:lineRule="auto"/>
              <w:jc w:val="distribute"/>
              <w:rPr>
                <w:rFonts w:hint="eastAsia" w:eastAsia="仿宋_GB2312"/>
                <w:sz w:val="30"/>
                <w:szCs w:val="30"/>
              </w:rPr>
            </w:pPr>
            <w:r>
              <w:rPr>
                <w:rFonts w:hint="eastAsia" w:eastAsia="仿宋_GB2312"/>
                <w:sz w:val="30"/>
                <w:szCs w:val="30"/>
              </w:rPr>
              <w:t>项 目 负 责 人：</w:t>
            </w:r>
          </w:p>
        </w:tc>
        <w:tc>
          <w:tcPr>
            <w:tcW w:w="5371" w:type="dxa"/>
            <w:tcBorders>
              <w:top w:val="single" w:color="auto" w:sz="4" w:space="0"/>
              <w:bottom w:val="single" w:color="auto" w:sz="4" w:space="0"/>
            </w:tcBorders>
            <w:noWrap w:val="0"/>
            <w:vAlign w:val="center"/>
          </w:tcPr>
          <w:p>
            <w:pPr>
              <w:adjustRightInd w:val="0"/>
              <w:snapToGrid w:val="0"/>
              <w:spacing w:line="240" w:lineRule="auto"/>
              <w:jc w:val="center"/>
              <w:rPr>
                <w:rFonts w:eastAsia="仿宋_GB2312"/>
                <w:sz w:val="30"/>
                <w:szCs w:val="30"/>
              </w:rPr>
            </w:pPr>
            <w:r>
              <w:rPr>
                <w:rFonts w:hint="eastAsia" w:eastAsia="仿宋_GB2312"/>
                <w:sz w:val="30"/>
                <w:szCs w:val="30"/>
              </w:rPr>
              <w:t>杜文才</w:t>
            </w:r>
          </w:p>
        </w:tc>
      </w:tr>
      <w:tr>
        <w:tblPrEx>
          <w:tblCellMar>
            <w:top w:w="0" w:type="dxa"/>
            <w:left w:w="108" w:type="dxa"/>
            <w:bottom w:w="0" w:type="dxa"/>
            <w:right w:w="108" w:type="dxa"/>
          </w:tblCellMar>
        </w:tblPrEx>
        <w:trPr>
          <w:trHeight w:val="680" w:hRule="atLeast"/>
        </w:trPr>
        <w:tc>
          <w:tcPr>
            <w:tcW w:w="2503" w:type="dxa"/>
            <w:noWrap w:val="0"/>
            <w:vAlign w:val="center"/>
          </w:tcPr>
          <w:p>
            <w:pPr>
              <w:adjustRightInd w:val="0"/>
              <w:snapToGrid w:val="0"/>
              <w:spacing w:line="240" w:lineRule="auto"/>
              <w:jc w:val="distribute"/>
              <w:rPr>
                <w:rFonts w:eastAsia="仿宋_GB2312"/>
                <w:sz w:val="30"/>
                <w:szCs w:val="30"/>
              </w:rPr>
            </w:pPr>
            <w:r>
              <w:rPr>
                <w:rFonts w:hint="eastAsia" w:eastAsia="仿宋_GB2312"/>
                <w:sz w:val="30"/>
                <w:szCs w:val="30"/>
              </w:rPr>
              <w:t>承担单位</w:t>
            </w:r>
            <w:r>
              <w:rPr>
                <w:rFonts w:eastAsia="仿宋_GB2312"/>
                <w:sz w:val="30"/>
                <w:szCs w:val="30"/>
              </w:rPr>
              <w:t>：</w:t>
            </w:r>
          </w:p>
        </w:tc>
        <w:tc>
          <w:tcPr>
            <w:tcW w:w="5371" w:type="dxa"/>
            <w:tcBorders>
              <w:top w:val="single" w:color="auto" w:sz="4" w:space="0"/>
              <w:bottom w:val="single" w:color="auto" w:sz="4" w:space="0"/>
            </w:tcBorders>
            <w:noWrap w:val="0"/>
            <w:vAlign w:val="center"/>
          </w:tcPr>
          <w:p>
            <w:pPr>
              <w:adjustRightInd w:val="0"/>
              <w:snapToGrid w:val="0"/>
              <w:spacing w:line="240" w:lineRule="auto"/>
              <w:jc w:val="center"/>
              <w:rPr>
                <w:rFonts w:eastAsia="仿宋_GB2312"/>
                <w:sz w:val="24"/>
              </w:rPr>
            </w:pPr>
            <w:r>
              <w:rPr>
                <w:rFonts w:hint="eastAsia" w:ascii="Times New Roman" w:hAnsi="Times New Roman" w:eastAsia="仿宋_GB2312" w:cs="Times New Roman"/>
                <w:sz w:val="30"/>
                <w:szCs w:val="30"/>
              </w:rPr>
              <w:t>数字与智慧工程院</w:t>
            </w:r>
          </w:p>
        </w:tc>
      </w:tr>
      <w:tr>
        <w:tblPrEx>
          <w:tblCellMar>
            <w:top w:w="0" w:type="dxa"/>
            <w:left w:w="108" w:type="dxa"/>
            <w:bottom w:w="0" w:type="dxa"/>
            <w:right w:w="108" w:type="dxa"/>
          </w:tblCellMar>
        </w:tblPrEx>
        <w:trPr>
          <w:trHeight w:val="680" w:hRule="atLeast"/>
        </w:trPr>
        <w:tc>
          <w:tcPr>
            <w:tcW w:w="2503" w:type="dxa"/>
            <w:noWrap w:val="0"/>
            <w:vAlign w:val="center"/>
          </w:tcPr>
          <w:p>
            <w:pPr>
              <w:adjustRightInd w:val="0"/>
              <w:snapToGrid w:val="0"/>
              <w:spacing w:line="240" w:lineRule="auto"/>
              <w:jc w:val="distribute"/>
              <w:rPr>
                <w:rFonts w:eastAsia="仿宋_GB2312"/>
                <w:sz w:val="30"/>
                <w:szCs w:val="30"/>
              </w:rPr>
            </w:pPr>
            <w:r>
              <w:rPr>
                <w:rFonts w:eastAsia="仿宋_GB2312"/>
                <w:sz w:val="30"/>
                <w:szCs w:val="30"/>
              </w:rPr>
              <w:t>验 收 日 期：</w:t>
            </w:r>
          </w:p>
        </w:tc>
        <w:tc>
          <w:tcPr>
            <w:tcW w:w="5371" w:type="dxa"/>
            <w:tcBorders>
              <w:top w:val="single" w:color="auto" w:sz="4" w:space="0"/>
              <w:bottom w:val="single" w:color="auto" w:sz="4" w:space="0"/>
            </w:tcBorders>
            <w:noWrap w:val="0"/>
            <w:vAlign w:val="center"/>
          </w:tcPr>
          <w:p>
            <w:pPr>
              <w:adjustRightInd w:val="0"/>
              <w:snapToGrid w:val="0"/>
              <w:spacing w:line="240" w:lineRule="auto"/>
              <w:jc w:val="center"/>
              <w:rPr>
                <w:rFonts w:eastAsia="仿宋_GB2312"/>
                <w:sz w:val="30"/>
                <w:szCs w:val="30"/>
              </w:rPr>
            </w:pPr>
            <w:r>
              <w:rPr>
                <w:rFonts w:hint="default" w:ascii="Times New Roman" w:hAnsi="Times New Roman" w:eastAsia="仿宋_GB2312" w:cs="Times New Roman"/>
                <w:sz w:val="30"/>
                <w:szCs w:val="30"/>
              </w:rPr>
              <w:t>202</w:t>
            </w:r>
            <w:r>
              <w:rPr>
                <w:rFonts w:hint="default" w:ascii="Times New Roman" w:hAnsi="Times New Roman" w:eastAsia="仿宋_GB2312" w:cs="Times New Roman"/>
                <w:sz w:val="30"/>
                <w:szCs w:val="30"/>
                <w:lang w:val="en-US" w:eastAsia="zh-CN"/>
              </w:rPr>
              <w:t>4</w:t>
            </w:r>
            <w:r>
              <w:rPr>
                <w:rFonts w:hint="default" w:ascii="Times New Roman" w:hAnsi="Times New Roman" w:eastAsia="仿宋_GB2312" w:cs="Times New Roman"/>
                <w:sz w:val="30"/>
                <w:szCs w:val="30"/>
              </w:rPr>
              <w:t xml:space="preserve"> 年 </w:t>
            </w:r>
            <w:r>
              <w:rPr>
                <w:rFonts w:hint="default" w:ascii="Times New Roman" w:hAnsi="Times New Roman" w:eastAsia="仿宋_GB2312" w:cs="Times New Roman"/>
                <w:sz w:val="30"/>
                <w:szCs w:val="30"/>
                <w:lang w:val="en-US" w:eastAsia="zh-CN"/>
              </w:rPr>
              <w:t>3</w:t>
            </w:r>
            <w:r>
              <w:rPr>
                <w:rFonts w:hint="default" w:ascii="Times New Roman" w:hAnsi="Times New Roman" w:eastAsia="仿宋_GB2312" w:cs="Times New Roman"/>
                <w:sz w:val="30"/>
                <w:szCs w:val="30"/>
              </w:rPr>
              <w:t>月</w:t>
            </w:r>
            <w:r>
              <w:rPr>
                <w:rFonts w:hint="default" w:ascii="Times New Roman" w:hAnsi="Times New Roman" w:eastAsia="仿宋_GB2312" w:cs="Times New Roman"/>
                <w:sz w:val="30"/>
                <w:szCs w:val="30"/>
                <w:lang w:val="en-US" w:eastAsia="zh-CN"/>
              </w:rPr>
              <w:t>2</w:t>
            </w:r>
            <w:r>
              <w:rPr>
                <w:rFonts w:hint="default" w:ascii="Times New Roman" w:hAnsi="Times New Roman" w:eastAsia="仿宋_GB2312" w:cs="Times New Roman"/>
                <w:sz w:val="30"/>
                <w:szCs w:val="30"/>
              </w:rPr>
              <w:t>2日</w:t>
            </w:r>
          </w:p>
        </w:tc>
      </w:tr>
    </w:tbl>
    <w:p>
      <w:pPr>
        <w:spacing w:line="800" w:lineRule="exact"/>
        <w:jc w:val="both"/>
        <w:rPr>
          <w:rFonts w:hint="eastAsia" w:ascii="宋体" w:hAnsi="宋体" w:eastAsia="宋体" w:cs="宋体"/>
          <w:sz w:val="28"/>
          <w:szCs w:val="28"/>
          <w:lang w:val="en-US" w:eastAsia="zh-CN"/>
        </w:rPr>
      </w:pPr>
    </w:p>
    <w:p>
      <w:pPr>
        <w:numPr>
          <w:ilvl w:val="0"/>
          <w:numId w:val="1"/>
        </w:numPr>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技术说明</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本软件基于MicroStation Update10版本开发，在MicroStation各版本间存在较好的适配性。软件开发过程中使用C#语言为主体，少部分功能使用VBA和C++。</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1.1数学难点</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主要涉及到的数学难点有：真倾角计算、三维直线拟合、地层交线拟合算法等。</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真倾角计算：对于放坡前基线与地面不平行的情况，本软件实现了一套真倾角计算方法，先计算出基线以真倾角角度在地面上的投影，然后根据放坡高度与真倾角计算放坡后结果。</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三维直线拟合：首先计算两直线在XoY面投影的交点，若不存在，则不相交；之后将交点投影回直线计算z值，若两直线z值相等，则相交，否则不相交。</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地层交线拟合算法：相邻直线间夹角若小于等于a，且拟合后直线与原始直线间夹角小于a*2，则持续拟合；否则拟合结束。该算法可实现复杂地层交线拟合，方便多层开挖工程放坡。</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outlineLvl w:val="1"/>
        <w:rPr>
          <w:rFonts w:hint="eastAsia"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1.2二次开发技术点</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锚点锁定：使用委托事件+全局变量的方式实现窗体间传值、基于Bentley的DgnElementSetTool交互式工具实现锚点位置的读取，最终实现单击锁定锚点功能。</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BIM信息处理：基于Bentley的ECSchema功能进行二次开发，实现坡比、工程量等BIM信息的绑定、新增、读取。</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Excel处理：基于NPOI函数库，实现对*.xls和*.xlsx文件的读取和写入。</w:t>
      </w:r>
    </w:p>
    <w:p>
      <w:pPr>
        <w:numPr>
          <w:ilvl w:val="0"/>
          <w:numId w:val="1"/>
        </w:numPr>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使用手册</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2.1通用模块</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2.1.1 启动参数设置面板</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通用 参数设置</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参数设置</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按钮启动参数设置面板，如</w:t>
      </w:r>
      <w:bookmarkStart w:id="0" w:name="_GoBack"/>
      <w:bookmarkEnd w:id="0"/>
      <w:r>
        <w:rPr>
          <w:rFonts w:hint="eastAsia" w:ascii="仿宋" w:hAnsi="仿宋" w:eastAsia="仿宋" w:cs="仿宋"/>
          <w:kern w:val="2"/>
          <w:sz w:val="24"/>
          <w:szCs w:val="24"/>
          <w:lang w:val="en-US" w:eastAsia="zh-CN" w:bidi="ar-SA"/>
        </w:rPr>
        <w:t>图所示。</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4067175" cy="2228850"/>
            <wp:effectExtent l="0" t="0" r="9525" b="0"/>
            <wp:docPr id="4" name="图片 4" descr="bb27b7e675d090ae98c6bfda55914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b27b7e675d090ae98c6bfda559142e"/>
                    <pic:cNvPicPr>
                      <a:picLocks noChangeAspect="1"/>
                    </pic:cNvPicPr>
                  </pic:nvPicPr>
                  <pic:blipFill>
                    <a:blip r:embed="rId4"/>
                    <a:stretch>
                      <a:fillRect/>
                    </a:stretch>
                  </pic:blipFill>
                  <pic:spPr>
                    <a:xfrm>
                      <a:off x="0" y="0"/>
                      <a:ext cx="4067175" cy="2228850"/>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参数设置面板</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eastAsia" w:ascii="仿宋" w:hAnsi="仿宋" w:eastAsia="仿宋" w:cs="仿宋"/>
          <w:b/>
          <w:bCs/>
          <w:kern w:val="2"/>
          <w:sz w:val="24"/>
          <w:szCs w:val="24"/>
          <w:lang w:val="en-US" w:eastAsia="zh-CN" w:bidi="ar-SA"/>
        </w:rPr>
      </w:pP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2.1.2 构造开挖区</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根据工程开挖区位置在MicroStation中构造一组首位相连的直线，此区域为开挖区底面。如图所示。</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6690" cy="2360930"/>
            <wp:effectExtent l="0" t="0" r="10160" b="1270"/>
            <wp:docPr id="15" name="图片 15" descr="51f1ae528b258c030febc4ce91170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1f1ae528b258c030febc4ce911708f"/>
                    <pic:cNvPicPr>
                      <a:picLocks noChangeAspect="1"/>
                    </pic:cNvPicPr>
                  </pic:nvPicPr>
                  <pic:blipFill>
                    <a:blip r:embed="rId5"/>
                    <a:srcRect t="17249"/>
                    <a:stretch>
                      <a:fillRect/>
                    </a:stretch>
                  </pic:blipFill>
                  <pic:spPr>
                    <a:xfrm>
                      <a:off x="0" y="0"/>
                      <a:ext cx="5266690" cy="2360930"/>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构造开挖区底面（顶视图）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6690" cy="2367915"/>
            <wp:effectExtent l="0" t="0" r="10160" b="13335"/>
            <wp:docPr id="19" name="图片 19" descr="431b48848ec235bdc7b9e43f9de4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31b48848ec235bdc7b9e43f9de44d0"/>
                    <pic:cNvPicPr>
                      <a:picLocks noChangeAspect="1"/>
                    </pic:cNvPicPr>
                  </pic:nvPicPr>
                  <pic:blipFill>
                    <a:blip r:embed="rId6"/>
                    <a:srcRect t="17004"/>
                    <a:stretch>
                      <a:fillRect/>
                    </a:stretch>
                  </pic:blipFill>
                  <pic:spPr>
                    <a:xfrm>
                      <a:off x="0" y="0"/>
                      <a:ext cx="5266690" cy="236791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构造开挖区底面（前视图）</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both"/>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选中所有直线，输入目标高程，单击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设置底面高程</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，底面边界线会自动平移至对应位置。如图所示</w:t>
      </w:r>
    </w:p>
    <w:p>
      <w:pPr>
        <w:pStyle w:val="8"/>
        <w:keepNext w:val="0"/>
        <w:keepLines w:val="0"/>
        <w:pageBreakBefore w:val="0"/>
        <w:widowControl w:val="0"/>
        <w:kinsoku/>
        <w:wordWrap/>
        <w:overflowPunct/>
        <w:topLinePunct w:val="0"/>
        <w:autoSpaceDE/>
        <w:autoSpaceDN/>
        <w:bidi w:val="0"/>
        <w:adjustRightInd w:val="0"/>
        <w:snapToGrid w:val="0"/>
        <w:spacing w:line="288" w:lineRule="auto"/>
        <w:jc w:val="both"/>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6690" cy="2327275"/>
            <wp:effectExtent l="0" t="0" r="10160" b="15875"/>
            <wp:docPr id="16" name="图片 16" descr="f56f52891bd766b39a656b524affb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56f52891bd766b39a656b524affb31"/>
                    <pic:cNvPicPr>
                      <a:picLocks noChangeAspect="1"/>
                    </pic:cNvPicPr>
                  </pic:nvPicPr>
                  <pic:blipFill>
                    <a:blip r:embed="rId7"/>
                    <a:srcRect t="18429"/>
                    <a:stretch>
                      <a:fillRect/>
                    </a:stretch>
                  </pic:blipFill>
                  <pic:spPr>
                    <a:xfrm>
                      <a:off x="0" y="0"/>
                      <a:ext cx="5266690" cy="23272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eastAsia" w:ascii="楷体" w:hAnsi="楷体" w:eastAsia="楷体" w:cs="楷体"/>
          <w:kern w:val="2"/>
          <w:sz w:val="21"/>
          <w:szCs w:val="21"/>
          <w:lang w:val="en-US" w:eastAsia="zh-CN" w:bidi="ar-SA"/>
        </w:rPr>
        <w:t>开挖区高程设置（前视图）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2.1.3 锁定锚点</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选中地形元素，输入</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通用 元素隐藏</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元素隐藏</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键。隐藏选中的地形元素。单击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锁定锚点</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键,软件左下角弹出辅助文档：</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请选择锚点</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。光标变为十字形，单击开挖区内任意位置，参数设置界面内的X，Y，Z会自动更新为当前选定位置的三维坐标。接下来的放坡操作均会按照远离锚点的方向放坡。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8"/>
          <w:szCs w:val="28"/>
          <w:lang w:val="en-US" w:eastAsia="zh-CN" w:bidi="ar-SA"/>
        </w:rPr>
      </w:pPr>
      <w:r>
        <w:rPr>
          <w:rFonts w:hint="default" w:ascii="仿宋" w:hAnsi="仿宋" w:eastAsia="仿宋" w:cs="仿宋"/>
          <w:kern w:val="2"/>
          <w:sz w:val="28"/>
          <w:szCs w:val="28"/>
          <w:lang w:val="en-US" w:eastAsia="zh-CN" w:bidi="ar-SA"/>
        </w:rPr>
        <w:drawing>
          <wp:inline distT="0" distB="0" distL="114300" distR="114300">
            <wp:extent cx="5266690" cy="2366010"/>
            <wp:effectExtent l="0" t="0" r="10160" b="15240"/>
            <wp:docPr id="23" name="图片 23" descr="5979abf14d744de7d99c82623f60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979abf14d744de7d99c82623f6080f"/>
                    <pic:cNvPicPr>
                      <a:picLocks noChangeAspect="1"/>
                    </pic:cNvPicPr>
                  </pic:nvPicPr>
                  <pic:blipFill>
                    <a:blip r:embed="rId8"/>
                    <a:srcRect t="17071"/>
                    <a:stretch>
                      <a:fillRect/>
                    </a:stretch>
                  </pic:blipFill>
                  <pic:spPr>
                    <a:xfrm>
                      <a:off x="0" y="0"/>
                      <a:ext cx="5266690" cy="2366010"/>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锁定锚点（锁定前）</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8"/>
          <w:szCs w:val="28"/>
          <w:lang w:val="en-US" w:eastAsia="zh-CN" w:bidi="ar-SA"/>
        </w:rPr>
      </w:pPr>
      <w:r>
        <w:rPr>
          <w:rFonts w:hint="default" w:ascii="仿宋" w:hAnsi="仿宋" w:eastAsia="仿宋" w:cs="仿宋"/>
          <w:kern w:val="2"/>
          <w:sz w:val="28"/>
          <w:szCs w:val="28"/>
          <w:lang w:val="en-US" w:eastAsia="zh-CN" w:bidi="ar-SA"/>
        </w:rPr>
        <w:drawing>
          <wp:inline distT="0" distB="0" distL="114300" distR="114300">
            <wp:extent cx="5266690" cy="2367915"/>
            <wp:effectExtent l="0" t="0" r="10160" b="13335"/>
            <wp:docPr id="25" name="图片 25" descr="5598bb301fb8f71f07532d8cfc2d6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598bb301fb8f71f07532d8cfc2d6b7"/>
                    <pic:cNvPicPr>
                      <a:picLocks noChangeAspect="1"/>
                    </pic:cNvPicPr>
                  </pic:nvPicPr>
                  <pic:blipFill>
                    <a:blip r:embed="rId9"/>
                    <a:srcRect t="17004"/>
                    <a:stretch>
                      <a:fillRect/>
                    </a:stretch>
                  </pic:blipFill>
                  <pic:spPr>
                    <a:xfrm>
                      <a:off x="0" y="0"/>
                      <a:ext cx="5266690" cy="236791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锁定锚点（锁定后）</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eastAsia"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2.2放坡模块</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2.2.1 基线放坡</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放坡 放坡界面</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放坡界面</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按钮启动参数设置面板，如图所示。本软件提供了两大类共计4种放坡方式，分别为：高差放坡、高差放坡（直坡）、高程放坡、高程放坡（直坡）。</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高差放坡可以将选定基线按照指定高度差放坡。选定需要放坡的基线，输入坡比、高差，单击“高差放坡”即可完成高差放坡。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both"/>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27" name="图片 27" descr="6e6a35e5e533dfdd89baf4a72cfdf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e6a35e5e533dfdd89baf4a72cfdfc1"/>
                    <pic:cNvPicPr>
                      <a:picLocks noChangeAspect="1"/>
                    </pic:cNvPicPr>
                  </pic:nvPicPr>
                  <pic:blipFill>
                    <a:blip r:embed="rId10"/>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高差放坡（侧视图）</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高差放坡（直坡）可以将选定基线按照指定高度差放坡。放坡后的放坡线与基线构成垂直坡。选定需要放坡的基线，输入高差，单击“高差放坡-直”即可完成高差放坡。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both"/>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29" name="图片 29" descr="fd4bc85e4bd13f7cb57f95c0a4737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d4bc85e4bd13f7cb57f95c0a4737e4"/>
                    <pic:cNvPicPr>
                      <a:picLocks noChangeAspect="1"/>
                    </pic:cNvPicPr>
                  </pic:nvPicPr>
                  <pic:blipFill>
                    <a:blip r:embed="rId11"/>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高差放坡-直坡（侧视图）</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高程放坡可以将选定基线放坡至指定高程。对于起点与终点Z坐标不同的空间直线，输入坡比、高程，高程放坡可以根据坡比计算真倾角。单击“高程放坡”即可完成指定高程、真倾角的高程放坡。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34" name="图片 34" descr="73b3298d8acd2d09852b8a5c56d4c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3b3298d8acd2d09852b8a5c56d4c59"/>
                    <pic:cNvPicPr>
                      <a:picLocks noChangeAspect="1"/>
                    </pic:cNvPicPr>
                  </pic:nvPicPr>
                  <pic:blipFill>
                    <a:blip r:embed="rId12"/>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高差放坡（右轴侧视图）</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高程放坡（直坡）可以将选定基线放坡至指定高程。对于起点与终点Z坐标不同的空间直线，输入高程、单击“高程放坡”即可完成直坡的高程放坡。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40" name="图片 40" descr="de5c4b6eaca3311ee11e9440ed89e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e5c4b6eaca3311ee11e9440ed89e7f"/>
                    <pic:cNvPicPr>
                      <a:picLocks noChangeAspect="1"/>
                    </pic:cNvPicPr>
                  </pic:nvPicPr>
                  <pic:blipFill>
                    <a:blip r:embed="rId13"/>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高差放坡-直坡（右轴侧视图）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2.2.2 马道放坡</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本软件提供了两类共计4种马道放坡方法，分别为：马道放坡、多级马道放坡。其中马道放坡可以在指定平面对基线进行平移，放坡产生指定宽度的马道。多级马道放坡可以输入马道宽度、高差、坡比、级数，自动批量生成多级马道和斜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43" name="图片 43" descr="8e497809d25f18b3e54226e836f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e497809d25f18b3e54226e836f2979"/>
                    <pic:cNvPicPr>
                      <a:picLocks noChangeAspect="1"/>
                    </pic:cNvPicPr>
                  </pic:nvPicPr>
                  <pic:blipFill>
                    <a:blip r:embed="rId14"/>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马道放坡-右轴测视图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64150" cy="2632075"/>
            <wp:effectExtent l="0" t="0" r="12700" b="15875"/>
            <wp:docPr id="44" name="图片 44" descr="a86ee9b76b42407d364becc2908d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a86ee9b76b42407d364becc2908d5bc"/>
                    <pic:cNvPicPr>
                      <a:picLocks noChangeAspect="1"/>
                    </pic:cNvPicPr>
                  </pic:nvPicPr>
                  <pic:blipFill>
                    <a:blip r:embed="rId15"/>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多级马道放坡-右轴测视图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2.2.3 辅助功能</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针对放坡过程，本软件提供了两种辅助功能，分别是直线拟合功能和圆弧倒角功能。</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放坡 直线拟合</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直线拟合</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选定同一平面且不相交的两条线段，软件可根据线段方向自动延长寻找交点拟合，如图所示。对于3.2.1的基线放坡功能和3.2.2中的马道放坡功能，非直坡情况下生成的放坡线共面但不相交，可使用此功能实现放坡线快捷拟合。</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5264150" cy="2632075"/>
            <wp:effectExtent l="0" t="0" r="12700" b="15875"/>
            <wp:docPr id="46" name="图片 46" descr="bc13a496a6cc8214ed397a50d9175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c13a496a6cc8214ed397a50d9175c2"/>
                    <pic:cNvPicPr>
                      <a:picLocks noChangeAspect="1"/>
                    </pic:cNvPicPr>
                  </pic:nvPicPr>
                  <pic:blipFill>
                    <a:blip r:embed="rId16"/>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直线拟合-拟合前</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eastAsia" w:ascii="仿宋" w:hAnsi="仿宋" w:eastAsia="仿宋" w:cs="仿宋"/>
          <w:kern w:val="2"/>
          <w:sz w:val="24"/>
          <w:szCs w:val="24"/>
          <w:lang w:val="en-US" w:eastAsia="zh-CN" w:bidi="ar-SA"/>
        </w:rPr>
      </w:pP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5264150" cy="2632075"/>
            <wp:effectExtent l="0" t="0" r="12700" b="15875"/>
            <wp:docPr id="47" name="图片 47" descr="786a69f32c95429d7de83bb4df65f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786a69f32c95429d7de83bb4df65fc8"/>
                    <pic:cNvPicPr>
                      <a:picLocks noChangeAspect="1"/>
                    </pic:cNvPicPr>
                  </pic:nvPicPr>
                  <pic:blipFill>
                    <a:blip r:embed="rId17"/>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直线拟合-拟合后</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放坡 圆弧倒角</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圆弧倒角</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按钮启动。选定同一平面的的两条线段，输入倒角半径，软件可根据半径自动构造倒角，如图所示。</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785" cy="2025015"/>
            <wp:effectExtent l="0" t="0" r="12065" b="13335"/>
            <wp:docPr id="48" name="图片 48" descr="b9079156494b068f8c687d480bda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b9079156494b068f8c687d480bda287"/>
                    <pic:cNvPicPr>
                      <a:picLocks noChangeAspect="1"/>
                    </pic:cNvPicPr>
                  </pic:nvPicPr>
                  <pic:blipFill>
                    <a:blip r:embed="rId18"/>
                    <a:stretch>
                      <a:fillRect/>
                    </a:stretch>
                  </pic:blipFill>
                  <pic:spPr>
                    <a:xfrm>
                      <a:off x="0" y="0"/>
                      <a:ext cx="5264785" cy="202501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圆弧倒角-倒角后</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2.3三维处理模块</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2.3.1 构造开挖面</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选中3.2步骤中构造的所有开挖线，使用mdl命令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三维 构造开挖面</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构造开挖面</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按钮启动功能。软件会根据开挖线自动构筑三维开挖体。</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50" name="图片 50" descr="d6c0e06bc121c030258cf14794fad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6c0e06bc121c030258cf14794fad0d"/>
                    <pic:cNvPicPr>
                      <a:picLocks noChangeAspect="1"/>
                    </pic:cNvPicPr>
                  </pic:nvPicPr>
                  <pic:blipFill>
                    <a:blip r:embed="rId19"/>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eastAsia" w:ascii="楷体" w:hAnsi="楷体" w:eastAsia="楷体" w:cs="楷体"/>
          <w:kern w:val="2"/>
          <w:sz w:val="21"/>
          <w:szCs w:val="21"/>
          <w:lang w:val="en-US" w:eastAsia="zh-CN" w:bidi="ar-SA"/>
        </w:rPr>
        <w:t>三维开挖面（右轴测视图）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2.3.2 岩层处理</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三维 三维处理</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三维处理</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按钮启动功能。首先选择需要处理的地形元素，点击“锁定地形”按钮。之后选择需要处理的开挖面元素，点击“锁定开挖面”按钮。锁定完成后功能面板上显示了地层元素id号和开挖面元素id号。</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51" name="图片 51" descr="6495c5aa2ee6eaaff4dc64a46ed6c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6495c5aa2ee6eaaff4dc64a46ed6c6e"/>
                    <pic:cNvPicPr>
                      <a:picLocks noChangeAspect="1"/>
                    </pic:cNvPicPr>
                  </pic:nvPicPr>
                  <pic:blipFill>
                    <a:blip r:embed="rId20"/>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锁定地形元素和开挖面元素</w:t>
      </w:r>
    </w:p>
    <w:p>
      <w:pPr>
        <w:pStyle w:val="9"/>
        <w:keepNext/>
        <w:keepLines/>
        <w:pageBreakBefore w:val="0"/>
        <w:widowControl w:val="0"/>
        <w:kinsoku/>
        <w:wordWrap/>
        <w:overflowPunct/>
        <w:topLinePunct w:val="0"/>
        <w:autoSpaceDE/>
        <w:autoSpaceDN/>
        <w:bidi w:val="0"/>
        <w:adjustRightInd w:val="0"/>
        <w:snapToGrid w:val="0"/>
        <w:spacing w:before="0" w:after="0" w:line="288" w:lineRule="auto"/>
        <w:ind w:firstLine="480" w:firstLineChars="200"/>
        <w:textAlignment w:val="auto"/>
        <w:outlineLvl w:val="9"/>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单击“提取开挖区”按钮，提取开挖部分三维结构。选择开挖部分三维结构，单击“提取边界线”按钮，提取开挖区地层交线。</w:t>
      </w:r>
    </w:p>
    <w:p>
      <w:pPr>
        <w:rPr>
          <w:rFonts w:hint="default"/>
          <w:lang w:val="en-US" w:eastAsia="zh-CN"/>
        </w:rPr>
      </w:pPr>
      <w:r>
        <w:rPr>
          <w:rFonts w:hint="default"/>
          <w:lang w:val="en-US" w:eastAsia="zh-CN"/>
        </w:rPr>
        <w:drawing>
          <wp:inline distT="0" distB="0" distL="114300" distR="114300">
            <wp:extent cx="5264150" cy="2632075"/>
            <wp:effectExtent l="0" t="0" r="12700" b="15875"/>
            <wp:docPr id="52" name="图片 52" descr="524f223d6f917736c16a2aa3029f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524f223d6f917736c16a2aa3029f118"/>
                    <pic:cNvPicPr>
                      <a:picLocks noChangeAspect="1"/>
                    </pic:cNvPicPr>
                  </pic:nvPicPr>
                  <pic:blipFill>
                    <a:blip r:embed="rId21"/>
                    <a:stretch>
                      <a:fillRect/>
                    </a:stretch>
                  </pic:blipFill>
                  <pic:spPr>
                    <a:xfrm>
                      <a:off x="0" y="0"/>
                      <a:ext cx="5264150" cy="2632075"/>
                    </a:xfrm>
                    <a:prstGeom prst="rect">
                      <a:avLst/>
                    </a:prstGeom>
                  </pic:spPr>
                </pic:pic>
              </a:graphicData>
            </a:graphic>
          </wp:inline>
        </w:drawing>
      </w:r>
    </w:p>
    <w:p>
      <w:pPr>
        <w:jc w:val="center"/>
        <w:rPr>
          <w:rFonts w:hint="eastAsia" w:ascii="仿宋" w:hAnsi="仿宋" w:eastAsia="仿宋" w:cs="仿宋"/>
          <w:b/>
          <w:bCs/>
          <w:kern w:val="2"/>
          <w:sz w:val="24"/>
          <w:szCs w:val="24"/>
          <w:lang w:val="en-US" w:eastAsia="zh-CN" w:bidi="ar-SA"/>
        </w:rPr>
      </w:pPr>
      <w:r>
        <w:rPr>
          <w:rFonts w:hint="eastAsia" w:ascii="楷体" w:hAnsi="楷体" w:eastAsia="楷体" w:cs="楷体"/>
          <w:kern w:val="2"/>
          <w:sz w:val="21"/>
          <w:szCs w:val="21"/>
          <w:lang w:val="en-US" w:eastAsia="zh-CN" w:bidi="ar-SA"/>
        </w:rPr>
        <w:t>提取开挖区三维结构</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2.4剖面模块</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2.4.1 三维剪切</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选中需要剪切的一个或多个三维面，使用mdl命令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三维出图工具 出图 三维剪切</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三维剪切</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按钮启动参数设置面板，如图所示。剪切区默认高度400米。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在模型上绘制一条直线代表剪切方向，单击“三维剪切”按钮启动三维剪切功能。软件会将方向直线上下各自平移剪切区高度构造剪切面，本例中即构造800米高度的剪切面，对三维面进行剖切。剖切结果如下图。对三个地层同时进行三维剪切，从上到下依次为：绿色、黄色、红色。</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5264150" cy="2632075"/>
            <wp:effectExtent l="0" t="0" r="12700" b="15875"/>
            <wp:docPr id="24" name="图片 24" descr="be2ae668b96c57c73b40d291268c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e2ae668b96c57c73b40d291268c823"/>
                    <pic:cNvPicPr>
                      <a:picLocks noChangeAspect="1"/>
                    </pic:cNvPicPr>
                  </pic:nvPicPr>
                  <pic:blipFill>
                    <a:blip r:embed="rId22"/>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eastAsia" w:ascii="楷体" w:hAnsi="楷体" w:eastAsia="楷体" w:cs="楷体"/>
          <w:kern w:val="2"/>
          <w:sz w:val="21"/>
          <w:szCs w:val="21"/>
          <w:lang w:val="en-US" w:eastAsia="zh-CN" w:bidi="ar-SA"/>
        </w:rPr>
        <w:t>地形三维剪切前</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5264150" cy="2632075"/>
            <wp:effectExtent l="0" t="0" r="12700" b="15875"/>
            <wp:docPr id="22" name="图片 22" descr="2755c0636f13dd317f3f133ead67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755c0636f13dd317f3f133ead673b0"/>
                    <pic:cNvPicPr>
                      <a:picLocks noChangeAspect="1"/>
                    </pic:cNvPicPr>
                  </pic:nvPicPr>
                  <pic:blipFill>
                    <a:blip r:embed="rId23"/>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地形三维剪切后</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三维剪切功能同样可以对开挖区域进行剪切，剪切后的三维模型可以导出为PDF文件，实现三维出图。三维开挖模型结合3.1中导出的控制点坐标信息和3.2中工程量计算结果导出的Excel表格，可实现完整的BIM三维模型交付指导施工。</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64150" cy="2632075"/>
            <wp:effectExtent l="0" t="0" r="12700" b="15875"/>
            <wp:docPr id="10" name="图片 10" descr="96f3661974e3b2cd40c46b874313c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6f3661974e3b2cd40c46b874313ca7"/>
                    <pic:cNvPicPr>
                      <a:picLocks noChangeAspect="1"/>
                    </pic:cNvPicPr>
                  </pic:nvPicPr>
                  <pic:blipFill>
                    <a:blip r:embed="rId24"/>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开挖区三维剪切前（顶视图）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64150" cy="2632075"/>
            <wp:effectExtent l="0" t="0" r="12700" b="15875"/>
            <wp:docPr id="3" name="图片 3" descr="36160ce794997a46a8b1e03dcadf0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6160ce794997a46a8b1e03dcadf02d"/>
                    <pic:cNvPicPr>
                      <a:picLocks noChangeAspect="1"/>
                    </pic:cNvPicPr>
                  </pic:nvPicPr>
                  <pic:blipFill>
                    <a:blip r:embed="rId25"/>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开挖区三维剪切后（顶视图）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64150" cy="2632075"/>
            <wp:effectExtent l="0" t="0" r="12700" b="15875"/>
            <wp:docPr id="5" name="图片 5" descr="24c7904cf66f2ac9dcca26b98a06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4c7904cf66f2ac9dcca26b98a06a17"/>
                    <pic:cNvPicPr>
                      <a:picLocks noChangeAspect="1"/>
                    </pic:cNvPicPr>
                  </pic:nvPicPr>
                  <pic:blipFill>
                    <a:blip r:embed="rId26"/>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开挖区三维剪切后（右轴测视图）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2.4.2 提取剖面线</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选中三维剪切后的三维面，单击“提取剖面线”按钮，可自定义提取三维剖面边界并输出为折线。输出的折线可以导出到CAD中编辑使用，或导出为PDF出图。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26" name="图片 26" descr="3f3c2ed3987b379521be24c4f3dc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f3c2ed3987b379521be24c4f3dc03b"/>
                    <pic:cNvPicPr>
                      <a:picLocks noChangeAspect="1"/>
                    </pic:cNvPicPr>
                  </pic:nvPicPr>
                  <pic:blipFill>
                    <a:blip r:embed="rId27"/>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仿宋" w:hAnsi="仿宋" w:eastAsia="仿宋" w:cs="仿宋"/>
          <w:b/>
          <w:bCs/>
          <w:kern w:val="2"/>
          <w:sz w:val="24"/>
          <w:szCs w:val="24"/>
          <w:lang w:val="en-US" w:eastAsia="zh-CN" w:bidi="ar-SA"/>
        </w:rPr>
      </w:pPr>
      <w:r>
        <w:rPr>
          <w:rFonts w:hint="eastAsia" w:ascii="楷体" w:hAnsi="楷体" w:eastAsia="楷体" w:cs="楷体"/>
          <w:kern w:val="2"/>
          <w:sz w:val="21"/>
          <w:szCs w:val="21"/>
          <w:lang w:val="en-US" w:eastAsia="zh-CN" w:bidi="ar-SA"/>
        </w:rPr>
        <w:t>折线提取结果</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eastAsia"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2.5标注模块</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b/>
          <w:bCs/>
          <w:kern w:val="2"/>
          <w:sz w:val="24"/>
          <w:szCs w:val="24"/>
          <w:lang w:val="en-US" w:eastAsia="zh-CN" w:bidi="ar-SA"/>
        </w:rPr>
      </w:pPr>
      <w:r>
        <w:rPr>
          <w:rFonts w:hint="eastAsia" w:ascii="仿宋" w:hAnsi="仿宋" w:eastAsia="仿宋" w:cs="仿宋"/>
          <w:b w:val="0"/>
          <w:bCs w:val="0"/>
          <w:kern w:val="2"/>
          <w:sz w:val="24"/>
          <w:szCs w:val="24"/>
          <w:lang w:val="en-US" w:eastAsia="zh-CN" w:bidi="ar-SA"/>
        </w:rPr>
        <w:t>使用mdl命令</w:t>
      </w:r>
      <w:r>
        <w:rPr>
          <w:rFonts w:hint="default" w:ascii="仿宋" w:hAnsi="仿宋" w:eastAsia="仿宋" w:cs="仿宋"/>
          <w:b w:val="0"/>
          <w:bCs w:val="0"/>
          <w:kern w:val="2"/>
          <w:sz w:val="24"/>
          <w:szCs w:val="24"/>
          <w:lang w:val="en-US" w:eastAsia="zh-CN" w:bidi="ar-SA"/>
        </w:rPr>
        <w:t>”</w:t>
      </w:r>
      <w:r>
        <w:rPr>
          <w:rFonts w:hint="eastAsia" w:ascii="仿宋" w:hAnsi="仿宋" w:eastAsia="仿宋" w:cs="仿宋"/>
          <w:kern w:val="2"/>
          <w:sz w:val="24"/>
          <w:szCs w:val="24"/>
          <w:lang w:val="en-US" w:eastAsia="zh-CN" w:bidi="ar-SA"/>
        </w:rPr>
        <w:t>三维出图工具 标注 标注模块</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标注</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按钮启动参数设置面板。</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2.5.1 坡比标注</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择要添加三维标注的直线，在“名称”栏选择坡比，输入要标注的坡比。单击“添加属性”按钮，即可为直线附加坡比属性。选择一个或多个具有坡比属性的元素，单击“标注坡比”按钮，即可在三维空间中实现坡比标注的功能，自动绘制示坡线并标注坡比。</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5264150" cy="2632075"/>
            <wp:effectExtent l="0" t="0" r="12700" b="15875"/>
            <wp:docPr id="9" name="图片 9" descr="5cb4eaadef6322372ac22687c5f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cb4eaadef6322372ac22687c5f3897"/>
                    <pic:cNvPicPr>
                      <a:picLocks noChangeAspect="1"/>
                    </pic:cNvPicPr>
                  </pic:nvPicPr>
                  <pic:blipFill>
                    <a:blip r:embed="rId28"/>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坡比标注（右轴测视图）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8" name="图片 8" descr="6203928da94c63313ef8f0d9d74f7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203928da94c63313ef8f0d9d74f7f8"/>
                    <pic:cNvPicPr>
                      <a:picLocks noChangeAspect="1"/>
                    </pic:cNvPicPr>
                  </pic:nvPicPr>
                  <pic:blipFill>
                    <a:blip r:embed="rId29"/>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坡比标注（顶视图）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eastAsia" w:ascii="仿宋" w:hAnsi="仿宋" w:eastAsia="仿宋" w:cs="仿宋"/>
          <w:b/>
          <w:bCs/>
          <w:kern w:val="2"/>
          <w:sz w:val="24"/>
          <w:szCs w:val="24"/>
          <w:lang w:val="en-US" w:eastAsia="zh-CN" w:bidi="ar-SA"/>
        </w:rPr>
      </w:pP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2.5.2 高程标注</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选择两个不重叠的空间直线，单击“标注高程”键。如果两个空间直线构成的平面与XoY平面平行，则会在该平面处绘制矩形线框，线框内保留两位小数标注平面高程。</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6" name="图片 6" descr="eb0ba0c20d7b4b72bece5f8df45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b0ba0c20d7b4b72bece5f8df457937"/>
                    <pic:cNvPicPr>
                      <a:picLocks noChangeAspect="1"/>
                    </pic:cNvPicPr>
                  </pic:nvPicPr>
                  <pic:blipFill>
                    <a:blip r:embed="rId30"/>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高程标注（右轴测视图）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7" name="图片 7" descr="c43820b35f422c4b2d2c16e0657e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43820b35f422c4b2d2c16e0657e1a3"/>
                    <pic:cNvPicPr>
                      <a:picLocks noChangeAspect="1"/>
                    </pic:cNvPicPr>
                  </pic:nvPicPr>
                  <pic:blipFill>
                    <a:blip r:embed="rId31"/>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高程标注（顶视图）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2.5.3 控制点坐标标注</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单击“标注控制点”键，进入控制点标注模式。选择两条相交直线，单击空白区域确认即可设置直线交点为控制点，单击右键即可退出控制点标注模式。对整个三维模型的控制点标注完成后，单击“输出控制点”键，会按照控制点标注顺序自动为控制点编码、显示在三维模型上，并将对应点信息存储为Excel，方便工程后期出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12" name="图片 12" descr="2866c862e9aeac4e4b3a4420ebac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866c862e9aeac4e4b3a4420ebacadd"/>
                    <pic:cNvPicPr>
                      <a:picLocks noChangeAspect="1"/>
                    </pic:cNvPicPr>
                  </pic:nvPicPr>
                  <pic:blipFill>
                    <a:blip r:embed="rId32"/>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控制点标注（右轴测视图）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64150" cy="2632075"/>
            <wp:effectExtent l="0" t="0" r="12700" b="15875"/>
            <wp:docPr id="14" name="图片 14" descr="774386bd55cac6c0f8c76e5d18188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74386bd55cac6c0f8c76e5d18188db"/>
                    <pic:cNvPicPr>
                      <a:picLocks noChangeAspect="1"/>
                    </pic:cNvPicPr>
                  </pic:nvPicPr>
                  <pic:blipFill>
                    <a:blip r:embed="rId33"/>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控制点标注（右轴测视图-放大）</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13" name="图片 13" descr="04684f4dd94febe572ecb828264b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4684f4dd94febe572ecb828264b3dc"/>
                    <pic:cNvPicPr>
                      <a:picLocks noChangeAspect="1"/>
                    </pic:cNvPicPr>
                  </pic:nvPicPr>
                  <pic:blipFill>
                    <a:blip r:embed="rId34"/>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控制点标注（顶视图）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2.6统计模块</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b/>
          <w:bCs/>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三维出图工具 工程量计算 支护区计算</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工程量计算</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按钮启动参数设置面板。</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2.6.1 划分支护区</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择三维模型中需要标注的若干面，调整支护区号，单击“划分支护区”按钮即可实现支护区划分的功能。划分支护区后，同一支护区的若干三维面会以同种颜色标记。如图所示，为该三维模型划分了5个不同的支护区，按顺序分别标识为蓝色、绿色、红色、黄色、粉色。灰色部分未划分支护区。</w:t>
      </w:r>
    </w:p>
    <w:p>
      <w:pPr>
        <w:pStyle w:val="8"/>
        <w:keepNext w:val="0"/>
        <w:keepLines w:val="0"/>
        <w:pageBreakBefore w:val="0"/>
        <w:widowControl w:val="0"/>
        <w:kinsoku/>
        <w:wordWrap/>
        <w:overflowPunct/>
        <w:topLinePunct w:val="0"/>
        <w:autoSpaceDE/>
        <w:autoSpaceDN/>
        <w:bidi w:val="0"/>
        <w:adjustRightInd w:val="0"/>
        <w:snapToGrid w:val="0"/>
        <w:spacing w:line="288" w:lineRule="auto"/>
        <w:jc w:val="both"/>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1" name="图片 1" descr="dd4f105b2c51fe98455a941ac7ce1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d4f105b2c51fe98455a941ac7ce1ae"/>
                    <pic:cNvPicPr>
                      <a:picLocks noChangeAspect="1"/>
                    </pic:cNvPicPr>
                  </pic:nvPicPr>
                  <pic:blipFill>
                    <a:blip r:embed="rId35"/>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支护区划分前（右轴测视图）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both"/>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17" name="图片 17" descr="dce3cdd73e37f5f542db71c79be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ce3cdd73e37f5f542db71c79be0139"/>
                    <pic:cNvPicPr>
                      <a:picLocks noChangeAspect="1"/>
                    </pic:cNvPicPr>
                  </pic:nvPicPr>
                  <pic:blipFill>
                    <a:blip r:embed="rId36"/>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支护区划分结果（右轴测视图）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2.6.2 支护量计算</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本软件提供了3种支护量计算类型，包括锚杆量计算、喷混量计算、钢筋网计算。</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锚杆量计算：选定需要计算锚杆量的支护区，输入横向拉筋间距。软件会自动计算该支护区布设所需的大致锚杆数量，并记录设计时输入的的横向拉筋间距；</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喷混量计算：选定需要计算喷混量的支护区，输入混凝土厚度。软件会自动计算该支护区布设所需的混凝土量/立方米，并记录设计时输入的混凝土厚度；</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钢筋网计算：选定需要计算钢筋网的支护区，输入钢筋间排距和钢筋直径。软件会自动根据规范计算该规格钢筋网用于本支护区布设时所需的钢筋网质量/吨，并记录设计时输入的钢筋间排距和钢筋直径；</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如图所示，在该三维模型的各个支护区分别做出如下计算：</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支护区1：锚杆间距0.2米；喷混厚度0.1厘米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支护区2：钢筋间排距0.1米、钢筋型号6毫米；锚杆间距0.3米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支护区3：喷混厚度0.2厘米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支护区4：喷混厚度0.3厘米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支护区5：锚杆间距0.2米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以支护区2为例，归属于支护区2的某块区域自动计算结果如下图，该区域归属于支护区2，支护面积240.42平方米。钢筋网质量10.67吨，施工需锚杆2672根。</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6690" cy="2183765"/>
            <wp:effectExtent l="0" t="0" r="10160" b="6985"/>
            <wp:docPr id="20" name="图片 20" descr="62dced3eae67b28965fd5a1f424ac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2dced3eae67b28965fd5a1f424ac1e"/>
                    <pic:cNvPicPr>
                      <a:picLocks noChangeAspect="1"/>
                    </pic:cNvPicPr>
                  </pic:nvPicPr>
                  <pic:blipFill>
                    <a:blip r:embed="rId37"/>
                    <a:stretch>
                      <a:fillRect/>
                    </a:stretch>
                  </pic:blipFill>
                  <pic:spPr>
                    <a:xfrm>
                      <a:off x="0" y="0"/>
                      <a:ext cx="5266690" cy="218376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支护量计算</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2.4.3 计算结果导出</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基于以上支护量计算功能产出的计算结果，本软件提供了计算结果导出功能，单击“支护信息导出”键，软件可自动统计当前设计文件中存在的支护区，并合并计算各支护区工程数据导出为Excel，方便工程后期出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73040" cy="773430"/>
            <wp:effectExtent l="0" t="0" r="3810" b="7620"/>
            <wp:docPr id="21" name="图片 21" descr="b738e860944d9315941fb1902137f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738e860944d9315941fb1902137f1b"/>
                    <pic:cNvPicPr>
                      <a:picLocks noChangeAspect="1"/>
                    </pic:cNvPicPr>
                  </pic:nvPicPr>
                  <pic:blipFill>
                    <a:blip r:embed="rId38"/>
                    <a:stretch>
                      <a:fillRect/>
                    </a:stretch>
                  </pic:blipFill>
                  <pic:spPr>
                    <a:xfrm>
                      <a:off x="0" y="0"/>
                      <a:ext cx="5273040" cy="773430"/>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宋体" w:hAnsi="宋体" w:eastAsia="宋体" w:cs="宋体"/>
          <w:sz w:val="28"/>
          <w:szCs w:val="28"/>
          <w:lang w:val="en-US" w:eastAsia="zh-CN"/>
        </w:rPr>
      </w:pPr>
      <w:r>
        <w:rPr>
          <w:rFonts w:hint="eastAsia" w:ascii="楷体" w:hAnsi="楷体" w:eastAsia="楷体" w:cs="楷体"/>
          <w:kern w:val="2"/>
          <w:sz w:val="21"/>
          <w:szCs w:val="21"/>
          <w:lang w:val="en-US" w:eastAsia="zh-CN" w:bidi="ar-SA"/>
        </w:rPr>
        <w:t>计算结果导出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00" w:usb3="00000000" w:csb0="00040000" w:csb1="00000000"/>
  </w:font>
  <w:font w:name="Wingdings 2">
    <w:panose1 w:val="050201020105070707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CC5F75"/>
    <w:multiLevelType w:val="singleLevel"/>
    <w:tmpl w:val="D6CC5F75"/>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U2ZTFlZmY5MWM4NDk2N2U4MzJmYmE2YjI2ODQzYjYifQ=="/>
  </w:docVars>
  <w:rsids>
    <w:rsidRoot w:val="49685614"/>
    <w:rsid w:val="112160A6"/>
    <w:rsid w:val="246F29D1"/>
    <w:rsid w:val="49685614"/>
    <w:rsid w:val="4CC50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6">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3">
    <w:name w:val="footer"/>
    <w:basedOn w:val="1"/>
    <w:autoRedefine/>
    <w:unhideWhenUsed/>
    <w:qFormat/>
    <w:uiPriority w:val="99"/>
    <w:pPr>
      <w:tabs>
        <w:tab w:val="center" w:pos="4153"/>
        <w:tab w:val="right" w:pos="8306"/>
      </w:tabs>
      <w:snapToGrid w:val="0"/>
      <w:jc w:val="left"/>
    </w:pPr>
    <w:rPr>
      <w:sz w:val="18"/>
    </w:rPr>
  </w:style>
  <w:style w:type="paragraph" w:styleId="4">
    <w:name w:val="header"/>
    <w:basedOn w:val="1"/>
    <w:autoRedefine/>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7">
    <w:name w:val="page number"/>
    <w:basedOn w:val="6"/>
    <w:autoRedefine/>
    <w:semiHidden/>
    <w:unhideWhenUsed/>
    <w:qFormat/>
    <w:uiPriority w:val="99"/>
  </w:style>
  <w:style w:type="paragraph" w:customStyle="1" w:styleId="8">
    <w:name w:val="Normal_f3789b50-6b1a-4e26-b45a-1348fbb6fa09"/>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Heading 2_75896eb7-5b0e-4118-a94c-e9ad497202f7"/>
    <w:basedOn w:val="1"/>
    <w:next w:val="1"/>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2024-03-20T06:57:00Z</dcterms:created>
  <dc:creator>命</dc:creator>
  <cp:lastModifiedBy>命</cp:lastModifiedBy>
  <dcterms:modified xsi:type="dcterms:W3CDTF">2024-03-21T02:50:21Z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806D0F2D50924D569B1B70ED4A4BB175_11</vt:lpwstr>
  </property>
</Properties>
</file>