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jc w:val="left"/>
        <w:rPr>
          <w:rFonts w:eastAsia="仿宋_GB2312"/>
          <w:sz w:val="30"/>
        </w:rPr>
      </w:pPr>
      <w:r>
        <w:rPr>
          <w:rFonts w:hint="eastAsia" w:eastAsia="仿宋_GB2312"/>
          <w:sz w:val="30"/>
        </w:rPr>
        <w:t>自  选  类</w:t>
      </w:r>
      <w:r>
        <w:rPr>
          <w:rFonts w:hint="eastAsia" w:eastAsia="仿宋_GB2312"/>
          <w:sz w:val="30"/>
        </w:rPr>
        <w:sym w:font="Wingdings 2" w:char="F052"/>
      </w:r>
      <w:r>
        <w:rPr>
          <w:rFonts w:hint="eastAsia" w:eastAsia="仿宋_GB2312"/>
          <w:sz w:val="30"/>
          <w:lang w:val="en-US" w:eastAsia="zh-CN"/>
        </w:rPr>
        <w:t xml:space="preserve">                       </w:t>
      </w:r>
      <w:r>
        <w:rPr>
          <w:rFonts w:hint="eastAsia" w:eastAsia="仿宋_GB2312"/>
          <w:sz w:val="30"/>
        </w:rPr>
        <w:t>项目编号：</w:t>
      </w:r>
      <w:r>
        <w:rPr>
          <w:rFonts w:hint="eastAsia" w:eastAsia="仿宋_GB2312"/>
          <w:sz w:val="30"/>
          <w:u w:val="single"/>
        </w:rPr>
        <w:t xml:space="preserve">  </w:t>
      </w:r>
      <w:r>
        <w:rPr>
          <w:rFonts w:hint="default" w:ascii="Times New Roman" w:hAnsi="Times New Roman" w:eastAsia="仿宋_GB2312" w:cs="Times New Roman"/>
          <w:b/>
          <w:bCs/>
          <w:sz w:val="30"/>
          <w:u w:val="single"/>
          <w:lang w:val="en-US" w:eastAsia="zh-CN"/>
        </w:rPr>
        <w:t>202310</w:t>
      </w:r>
      <w:r>
        <w:rPr>
          <w:rFonts w:hint="eastAsia" w:eastAsia="仿宋_GB2312"/>
          <w:sz w:val="30"/>
          <w:u w:val="single"/>
        </w:rPr>
        <w:t xml:space="preserve">   </w:t>
      </w:r>
    </w:p>
    <w:p>
      <w:pPr>
        <w:wordWrap/>
        <w:jc w:val="left"/>
        <w:rPr>
          <w:rFonts w:eastAsia="仿宋_GB2312"/>
          <w:sz w:val="30"/>
        </w:rPr>
      </w:pPr>
      <w:r>
        <w:rPr>
          <w:rFonts w:hint="eastAsia" w:eastAsia="仿宋_GB2312"/>
          <w:sz w:val="30"/>
        </w:rPr>
        <w:t>工程科研类□</w:t>
      </w:r>
      <w:r>
        <w:rPr>
          <w:rFonts w:hint="eastAsia" w:eastAsia="仿宋_GB2312"/>
          <w:sz w:val="30"/>
          <w:lang w:val="en-US" w:eastAsia="zh-CN"/>
        </w:rPr>
        <w:t xml:space="preserve">                     </w:t>
      </w:r>
      <w:r>
        <w:rPr>
          <w:rFonts w:eastAsia="仿宋_GB2312"/>
          <w:sz w:val="30"/>
        </w:rPr>
        <w:t xml:space="preserve">            </w:t>
      </w:r>
    </w:p>
    <w:p>
      <w:pPr>
        <w:jc w:val="center"/>
        <w:rPr>
          <w:rFonts w:hint="eastAsia" w:eastAsia="仿宋_GB2312"/>
          <w:sz w:val="42"/>
        </w:rPr>
      </w:pPr>
    </w:p>
    <w:p>
      <w:pPr>
        <w:jc w:val="center"/>
        <w:rPr>
          <w:rFonts w:hint="eastAsia" w:eastAsia="仿宋_GB2312"/>
          <w:sz w:val="42"/>
        </w:rPr>
      </w:pPr>
    </w:p>
    <w:p>
      <w:pPr>
        <w:jc w:val="center"/>
        <w:rPr>
          <w:rFonts w:hint="eastAsia" w:eastAsia="仿宋_GB2312"/>
          <w:sz w:val="42"/>
        </w:rPr>
      </w:pPr>
    </w:p>
    <w:p>
      <w:pPr>
        <w:spacing w:line="240" w:lineRule="auto"/>
        <w:jc w:val="center"/>
        <w:rPr>
          <w:rFonts w:eastAsia="仿宋_GB2312"/>
          <w:sz w:val="54"/>
          <w:szCs w:val="36"/>
        </w:rPr>
      </w:pPr>
      <w:r>
        <w:rPr>
          <w:rFonts w:hint="eastAsia" w:eastAsia="仿宋_GB2312"/>
          <w:sz w:val="54"/>
          <w:szCs w:val="36"/>
          <w:lang w:val="en-US" w:eastAsia="zh-CN"/>
        </w:rPr>
        <w:t>技术研究</w:t>
      </w:r>
      <w:r>
        <w:rPr>
          <w:rFonts w:eastAsia="仿宋_GB2312"/>
          <w:sz w:val="54"/>
          <w:szCs w:val="36"/>
        </w:rPr>
        <w:t>报告</w:t>
      </w:r>
    </w:p>
    <w:p>
      <w:pPr>
        <w:adjustRightInd w:val="0"/>
        <w:snapToGrid w:val="0"/>
        <w:spacing w:line="360" w:lineRule="auto"/>
        <w:jc w:val="both"/>
        <w:rPr>
          <w:rFonts w:eastAsia="仿宋_GB2312"/>
          <w:b/>
          <w:spacing w:val="60"/>
          <w:sz w:val="44"/>
        </w:rPr>
      </w:pPr>
    </w:p>
    <w:p>
      <w:pPr>
        <w:adjustRightInd w:val="0"/>
        <w:snapToGrid w:val="0"/>
        <w:spacing w:line="360" w:lineRule="auto"/>
        <w:jc w:val="both"/>
        <w:rPr>
          <w:rFonts w:eastAsia="仿宋_GB2312"/>
          <w:b/>
          <w:spacing w:val="60"/>
          <w:sz w:val="44"/>
        </w:rPr>
      </w:pPr>
    </w:p>
    <w:p>
      <w:pPr>
        <w:adjustRightInd w:val="0"/>
        <w:snapToGrid w:val="0"/>
        <w:spacing w:line="360" w:lineRule="auto"/>
        <w:jc w:val="center"/>
        <w:rPr>
          <w:rFonts w:eastAsia="仿宋_GB2312"/>
          <w:b/>
          <w:spacing w:val="60"/>
          <w:sz w:val="44"/>
        </w:rPr>
      </w:pPr>
    </w:p>
    <w:p>
      <w:pPr>
        <w:adjustRightInd w:val="0"/>
        <w:snapToGrid w:val="0"/>
        <w:spacing w:line="360" w:lineRule="auto"/>
        <w:jc w:val="both"/>
        <w:rPr>
          <w:rFonts w:eastAsia="仿宋_GB2312"/>
          <w:b/>
          <w:spacing w:val="60"/>
          <w:sz w:val="44"/>
        </w:rPr>
      </w:pPr>
    </w:p>
    <w:p>
      <w:pPr>
        <w:adjustRightInd w:val="0"/>
        <w:snapToGrid w:val="0"/>
        <w:spacing w:line="360" w:lineRule="auto"/>
        <w:jc w:val="both"/>
        <w:rPr>
          <w:rFonts w:eastAsia="仿宋_GB2312"/>
          <w:b/>
          <w:spacing w:val="60"/>
          <w:sz w:val="44"/>
        </w:rPr>
      </w:pPr>
    </w:p>
    <w:p>
      <w:pPr>
        <w:adjustRightInd w:val="0"/>
        <w:snapToGrid w:val="0"/>
        <w:spacing w:line="360" w:lineRule="auto"/>
        <w:jc w:val="both"/>
        <w:rPr>
          <w:rFonts w:eastAsia="仿宋_GB2312"/>
          <w:b/>
          <w:spacing w:val="60"/>
          <w:sz w:val="44"/>
        </w:rPr>
      </w:pPr>
    </w:p>
    <w:p>
      <w:pPr>
        <w:adjustRightInd w:val="0"/>
        <w:snapToGrid w:val="0"/>
        <w:spacing w:line="360" w:lineRule="auto"/>
        <w:jc w:val="both"/>
        <w:rPr>
          <w:rFonts w:eastAsia="仿宋_GB2312"/>
          <w:b/>
          <w:spacing w:val="60"/>
          <w:sz w:val="44"/>
        </w:rPr>
      </w:pPr>
    </w:p>
    <w:tbl>
      <w:tblPr>
        <w:tblStyle w:val="5"/>
        <w:tblpPr w:leftFromText="180" w:rightFromText="180" w:vertAnchor="text" w:horzAnchor="page" w:tblpX="2117" w:tblpY="268"/>
        <w:tblOverlap w:val="never"/>
        <w:tblW w:w="0" w:type="auto"/>
        <w:tblInd w:w="0" w:type="dxa"/>
        <w:tblLayout w:type="autofit"/>
        <w:tblCellMar>
          <w:top w:w="0" w:type="dxa"/>
          <w:left w:w="108" w:type="dxa"/>
          <w:bottom w:w="0" w:type="dxa"/>
          <w:right w:w="108" w:type="dxa"/>
        </w:tblCellMar>
      </w:tblPr>
      <w:tblGrid>
        <w:gridCol w:w="2503"/>
        <w:gridCol w:w="5371"/>
      </w:tblGrid>
      <w:tr>
        <w:tblPrEx>
          <w:tblCellMar>
            <w:top w:w="0" w:type="dxa"/>
            <w:left w:w="108" w:type="dxa"/>
            <w:bottom w:w="0" w:type="dxa"/>
            <w:right w:w="108" w:type="dxa"/>
          </w:tblCellMar>
        </w:tblPrEx>
        <w:trPr>
          <w:trHeight w:val="680" w:hRule="atLeast"/>
        </w:trPr>
        <w:tc>
          <w:tcPr>
            <w:tcW w:w="2503" w:type="dxa"/>
            <w:noWrap w:val="0"/>
            <w:vAlign w:val="center"/>
          </w:tcPr>
          <w:p>
            <w:pPr>
              <w:adjustRightInd w:val="0"/>
              <w:snapToGrid w:val="0"/>
              <w:spacing w:line="240" w:lineRule="auto"/>
              <w:jc w:val="distribute"/>
              <w:rPr>
                <w:rFonts w:eastAsia="仿宋_GB2312"/>
                <w:spacing w:val="60"/>
                <w:sz w:val="44"/>
              </w:rPr>
            </w:pPr>
            <w:r>
              <w:rPr>
                <w:rFonts w:eastAsia="仿宋_GB2312"/>
                <w:sz w:val="30"/>
                <w:szCs w:val="30"/>
              </w:rPr>
              <w:t>项 目 名 称：</w:t>
            </w:r>
          </w:p>
        </w:tc>
        <w:tc>
          <w:tcPr>
            <w:tcW w:w="5371" w:type="dxa"/>
            <w:tcBorders>
              <w:bottom w:val="single" w:color="auto" w:sz="4" w:space="0"/>
            </w:tcBorders>
            <w:noWrap w:val="0"/>
            <w:vAlign w:val="center"/>
          </w:tcPr>
          <w:p>
            <w:pPr>
              <w:adjustRightInd w:val="0"/>
              <w:snapToGrid w:val="0"/>
              <w:spacing w:line="240" w:lineRule="auto"/>
              <w:jc w:val="center"/>
              <w:rPr>
                <w:rFonts w:eastAsia="仿宋_GB2312"/>
                <w:b/>
                <w:spacing w:val="60"/>
                <w:sz w:val="30"/>
                <w:szCs w:val="30"/>
              </w:rPr>
            </w:pPr>
            <w:r>
              <w:rPr>
                <w:rFonts w:hint="eastAsia" w:ascii="Times New Roman" w:hAnsi="Times New Roman" w:eastAsia="仿宋_GB2312" w:cs="Times New Roman"/>
                <w:b/>
                <w:spacing w:val="60"/>
                <w:sz w:val="30"/>
                <w:szCs w:val="30"/>
              </w:rPr>
              <w:t>基于Bentley平台的三维开挖工具研发V1.0</w:t>
            </w:r>
          </w:p>
        </w:tc>
      </w:tr>
      <w:tr>
        <w:tblPrEx>
          <w:tblCellMar>
            <w:top w:w="0" w:type="dxa"/>
            <w:left w:w="108" w:type="dxa"/>
            <w:bottom w:w="0" w:type="dxa"/>
            <w:right w:w="108" w:type="dxa"/>
          </w:tblCellMar>
        </w:tblPrEx>
        <w:trPr>
          <w:trHeight w:val="680" w:hRule="atLeast"/>
        </w:trPr>
        <w:tc>
          <w:tcPr>
            <w:tcW w:w="2503" w:type="dxa"/>
            <w:noWrap w:val="0"/>
            <w:vAlign w:val="center"/>
          </w:tcPr>
          <w:p>
            <w:pPr>
              <w:adjustRightInd w:val="0"/>
              <w:snapToGrid w:val="0"/>
              <w:spacing w:line="240" w:lineRule="auto"/>
              <w:jc w:val="distribute"/>
              <w:rPr>
                <w:rFonts w:hint="eastAsia" w:eastAsia="仿宋_GB2312"/>
                <w:sz w:val="30"/>
                <w:szCs w:val="30"/>
              </w:rPr>
            </w:pPr>
            <w:r>
              <w:rPr>
                <w:rFonts w:hint="eastAsia" w:eastAsia="仿宋_GB2312"/>
                <w:sz w:val="30"/>
                <w:szCs w:val="30"/>
              </w:rPr>
              <w:t>项 目 负 责 人：</w:t>
            </w:r>
          </w:p>
        </w:tc>
        <w:tc>
          <w:tcPr>
            <w:tcW w:w="5371" w:type="dxa"/>
            <w:tcBorders>
              <w:top w:val="single" w:color="auto" w:sz="4" w:space="0"/>
              <w:bottom w:val="single" w:color="auto" w:sz="4" w:space="0"/>
            </w:tcBorders>
            <w:noWrap w:val="0"/>
            <w:vAlign w:val="center"/>
          </w:tcPr>
          <w:p>
            <w:pPr>
              <w:adjustRightInd w:val="0"/>
              <w:snapToGrid w:val="0"/>
              <w:spacing w:line="240" w:lineRule="auto"/>
              <w:jc w:val="center"/>
              <w:rPr>
                <w:rFonts w:eastAsia="仿宋_GB2312"/>
                <w:sz w:val="30"/>
                <w:szCs w:val="30"/>
              </w:rPr>
            </w:pPr>
            <w:r>
              <w:rPr>
                <w:rFonts w:hint="eastAsia" w:eastAsia="仿宋_GB2312"/>
                <w:sz w:val="30"/>
                <w:szCs w:val="30"/>
              </w:rPr>
              <w:t>杜文才</w:t>
            </w:r>
          </w:p>
        </w:tc>
      </w:tr>
      <w:tr>
        <w:tblPrEx>
          <w:tblCellMar>
            <w:top w:w="0" w:type="dxa"/>
            <w:left w:w="108" w:type="dxa"/>
            <w:bottom w:w="0" w:type="dxa"/>
            <w:right w:w="108" w:type="dxa"/>
          </w:tblCellMar>
        </w:tblPrEx>
        <w:trPr>
          <w:trHeight w:val="680" w:hRule="atLeast"/>
        </w:trPr>
        <w:tc>
          <w:tcPr>
            <w:tcW w:w="2503" w:type="dxa"/>
            <w:noWrap w:val="0"/>
            <w:vAlign w:val="center"/>
          </w:tcPr>
          <w:p>
            <w:pPr>
              <w:adjustRightInd w:val="0"/>
              <w:snapToGrid w:val="0"/>
              <w:spacing w:line="240" w:lineRule="auto"/>
              <w:jc w:val="distribute"/>
              <w:rPr>
                <w:rFonts w:eastAsia="仿宋_GB2312"/>
                <w:sz w:val="30"/>
                <w:szCs w:val="30"/>
              </w:rPr>
            </w:pPr>
            <w:r>
              <w:rPr>
                <w:rFonts w:hint="eastAsia" w:eastAsia="仿宋_GB2312"/>
                <w:sz w:val="30"/>
                <w:szCs w:val="30"/>
              </w:rPr>
              <w:t>承担单位</w:t>
            </w:r>
            <w:r>
              <w:rPr>
                <w:rFonts w:eastAsia="仿宋_GB2312"/>
                <w:sz w:val="30"/>
                <w:szCs w:val="30"/>
              </w:rPr>
              <w:t>：</w:t>
            </w:r>
          </w:p>
        </w:tc>
        <w:tc>
          <w:tcPr>
            <w:tcW w:w="5371" w:type="dxa"/>
            <w:tcBorders>
              <w:top w:val="single" w:color="auto" w:sz="4" w:space="0"/>
              <w:bottom w:val="single" w:color="auto" w:sz="4" w:space="0"/>
            </w:tcBorders>
            <w:noWrap w:val="0"/>
            <w:vAlign w:val="center"/>
          </w:tcPr>
          <w:p>
            <w:pPr>
              <w:adjustRightInd w:val="0"/>
              <w:snapToGrid w:val="0"/>
              <w:spacing w:line="240" w:lineRule="auto"/>
              <w:jc w:val="center"/>
              <w:rPr>
                <w:rFonts w:eastAsia="仿宋_GB2312"/>
                <w:sz w:val="24"/>
              </w:rPr>
            </w:pPr>
            <w:r>
              <w:rPr>
                <w:rFonts w:hint="eastAsia" w:ascii="Times New Roman" w:hAnsi="Times New Roman" w:eastAsia="仿宋_GB2312" w:cs="Times New Roman"/>
                <w:sz w:val="30"/>
                <w:szCs w:val="30"/>
              </w:rPr>
              <w:t>数字与智慧工程院</w:t>
            </w:r>
          </w:p>
        </w:tc>
      </w:tr>
      <w:tr>
        <w:tblPrEx>
          <w:tblCellMar>
            <w:top w:w="0" w:type="dxa"/>
            <w:left w:w="108" w:type="dxa"/>
            <w:bottom w:w="0" w:type="dxa"/>
            <w:right w:w="108" w:type="dxa"/>
          </w:tblCellMar>
        </w:tblPrEx>
        <w:trPr>
          <w:trHeight w:val="680" w:hRule="atLeast"/>
        </w:trPr>
        <w:tc>
          <w:tcPr>
            <w:tcW w:w="2503" w:type="dxa"/>
            <w:noWrap w:val="0"/>
            <w:vAlign w:val="center"/>
          </w:tcPr>
          <w:p>
            <w:pPr>
              <w:adjustRightInd w:val="0"/>
              <w:snapToGrid w:val="0"/>
              <w:spacing w:line="240" w:lineRule="auto"/>
              <w:jc w:val="distribute"/>
              <w:rPr>
                <w:rFonts w:eastAsia="仿宋_GB2312"/>
                <w:sz w:val="30"/>
                <w:szCs w:val="30"/>
              </w:rPr>
            </w:pPr>
            <w:r>
              <w:rPr>
                <w:rFonts w:eastAsia="仿宋_GB2312"/>
                <w:sz w:val="30"/>
                <w:szCs w:val="30"/>
              </w:rPr>
              <w:t>验 收 日 期：</w:t>
            </w:r>
          </w:p>
        </w:tc>
        <w:tc>
          <w:tcPr>
            <w:tcW w:w="5371" w:type="dxa"/>
            <w:tcBorders>
              <w:top w:val="single" w:color="auto" w:sz="4" w:space="0"/>
              <w:bottom w:val="single" w:color="auto" w:sz="4" w:space="0"/>
            </w:tcBorders>
            <w:noWrap w:val="0"/>
            <w:vAlign w:val="center"/>
          </w:tcPr>
          <w:p>
            <w:pPr>
              <w:adjustRightInd w:val="0"/>
              <w:snapToGrid w:val="0"/>
              <w:spacing w:line="240" w:lineRule="auto"/>
              <w:jc w:val="center"/>
              <w:rPr>
                <w:rFonts w:eastAsia="仿宋_GB2312"/>
                <w:sz w:val="30"/>
                <w:szCs w:val="30"/>
              </w:rPr>
            </w:pPr>
            <w:r>
              <w:rPr>
                <w:rFonts w:hint="default" w:ascii="Times New Roman" w:hAnsi="Times New Roman" w:eastAsia="仿宋_GB2312" w:cs="Times New Roman"/>
                <w:sz w:val="30"/>
                <w:szCs w:val="30"/>
              </w:rPr>
              <w:t>202</w:t>
            </w:r>
            <w:r>
              <w:rPr>
                <w:rFonts w:hint="default" w:ascii="Times New Roman" w:hAnsi="Times New Roman" w:eastAsia="仿宋_GB2312" w:cs="Times New Roman"/>
                <w:sz w:val="30"/>
                <w:szCs w:val="30"/>
                <w:lang w:val="en-US" w:eastAsia="zh-CN"/>
              </w:rPr>
              <w:t>4</w:t>
            </w:r>
            <w:r>
              <w:rPr>
                <w:rFonts w:hint="default" w:ascii="Times New Roman" w:hAnsi="Times New Roman" w:eastAsia="仿宋_GB2312" w:cs="Times New Roman"/>
                <w:sz w:val="30"/>
                <w:szCs w:val="30"/>
              </w:rPr>
              <w:t xml:space="preserve"> 年 </w:t>
            </w:r>
            <w:r>
              <w:rPr>
                <w:rFonts w:hint="default" w:ascii="Times New Roman" w:hAnsi="Times New Roman" w:eastAsia="仿宋_GB2312" w:cs="Times New Roman"/>
                <w:sz w:val="30"/>
                <w:szCs w:val="30"/>
                <w:lang w:val="en-US" w:eastAsia="zh-CN"/>
              </w:rPr>
              <w:t>3</w:t>
            </w:r>
            <w:r>
              <w:rPr>
                <w:rFonts w:hint="default" w:ascii="Times New Roman" w:hAnsi="Times New Roman" w:eastAsia="仿宋_GB2312" w:cs="Times New Roman"/>
                <w:sz w:val="30"/>
                <w:szCs w:val="30"/>
              </w:rPr>
              <w:t>月</w:t>
            </w:r>
            <w:r>
              <w:rPr>
                <w:rFonts w:hint="default" w:ascii="Times New Roman" w:hAnsi="Times New Roman" w:eastAsia="仿宋_GB2312" w:cs="Times New Roman"/>
                <w:sz w:val="30"/>
                <w:szCs w:val="30"/>
                <w:lang w:val="en-US" w:eastAsia="zh-CN"/>
              </w:rPr>
              <w:t>2</w:t>
            </w:r>
            <w:r>
              <w:rPr>
                <w:rFonts w:hint="default" w:ascii="Times New Roman" w:hAnsi="Times New Roman" w:eastAsia="仿宋_GB2312" w:cs="Times New Roman"/>
                <w:sz w:val="30"/>
                <w:szCs w:val="30"/>
              </w:rPr>
              <w:t>2日</w:t>
            </w:r>
          </w:p>
        </w:tc>
      </w:tr>
    </w:tbl>
    <w:p>
      <w:pPr>
        <w:spacing w:line="800" w:lineRule="exact"/>
        <w:jc w:val="both"/>
        <w:rPr>
          <w:rFonts w:hint="eastAsia" w:ascii="宋体" w:hAnsi="宋体" w:eastAsia="宋体" w:cs="宋体"/>
          <w:sz w:val="28"/>
          <w:szCs w:val="28"/>
          <w:lang w:val="en-US" w:eastAsia="zh-CN"/>
        </w:rPr>
      </w:pPr>
    </w:p>
    <w:p>
      <w:pPr>
        <w:numPr>
          <w:ilvl w:val="0"/>
          <w:numId w:val="1"/>
        </w:numPr>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技术说明</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本软件基于MicroStation Update10版本开发，在MicroStation各版本间存在较好的适配性。软件开发过程中使用C#语言为主体，少部分功能使用VBA和C++。</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1.1数学难点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主要涉及到的数学难点有：真倾角计算、三维直线拟合、地层交线拟合算法等。</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真倾角计算：对于放坡前基线与地面不平行的情况，本软件实现了一套真倾角计算方法，先计算出基线以真倾角角度在地面上的投影，然后根据放坡高度与真倾角计算放坡后结果。</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三维直线拟合：首先计算两直线在XoY面投影的交点，若不存在，则不相交；之后将交点投影回直线计算z值，若两直线z值相等，则相交，否则不相交。</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地层交线拟合算法：相邻直线间夹角若小于等于a，且拟合后直线与原始直线间夹角小于a*2，则持续拟合；否则拟合结束。该算法可实现复杂地层交线拟合，方便多层开挖工程放坡。</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outlineLvl w:val="1"/>
        <w:rPr>
          <w:rFonts w:hint="eastAsia"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1.2二次开发技术点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锚点锁定：使用委托事件+全局变量的方式实现窗体间传值、基于Bentley的DgnElementSetTool交互式工具实现锚点位置的读取，最终实现单击锁定锚点功能。</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BIM信息处理：基于Bentley的ECSchema功能进行二次开发，实现坡比、工程量等BIM信息的绑定、新增、读取。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Excel处理：基于NPOI函数库，实现对*.xls和*.xlsx文件的读取和写入。</w:t>
      </w:r>
    </w:p>
    <w:p>
      <w:pPr>
        <w:numPr>
          <w:ilvl w:val="0"/>
          <w:numId w:val="1"/>
        </w:numPr>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使用手册</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2.1通用模块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2.1.1 启动参数设置面板</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通用 参数设置</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参数设置</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按钮启动参数设置面板，如图所示。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4067175" cy="2228850"/>
            <wp:effectExtent l="0" t="0" r="9525" b="0"/>
            <wp:docPr id="4" name="图片 4" descr="bb27b7e675d090ae98c6bfda55914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b27b7e675d090ae98c6bfda559142e"/>
                    <pic:cNvPicPr>
                      <a:picLocks noChangeAspect="1"/>
                    </pic:cNvPicPr>
                  </pic:nvPicPr>
                  <pic:blipFill>
                    <a:blip r:embed="rId4"/>
                    <a:stretch>
                      <a:fillRect/>
                    </a:stretch>
                  </pic:blipFill>
                  <pic:spPr>
                    <a:xfrm>
                      <a:off x="0" y="0"/>
                      <a:ext cx="4067175" cy="2228850"/>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参数设置面板</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eastAsia" w:ascii="仿宋" w:hAnsi="仿宋" w:eastAsia="仿宋" w:cs="仿宋"/>
          <w:b/>
          <w:bCs/>
          <w:kern w:val="2"/>
          <w:sz w:val="24"/>
          <w:szCs w:val="24"/>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2.1.2 构造开挖区</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根据工程开挖区位置在MicroStation中构造一组首位相连的直线，此区域为开挖区底面。如图所示。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6690" cy="2360930"/>
            <wp:effectExtent l="0" t="0" r="10160" b="1270"/>
            <wp:docPr id="15" name="图片 15" descr="51f1ae528b258c030febc4ce91170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1f1ae528b258c030febc4ce911708f"/>
                    <pic:cNvPicPr>
                      <a:picLocks noChangeAspect="1"/>
                    </pic:cNvPicPr>
                  </pic:nvPicPr>
                  <pic:blipFill>
                    <a:blip r:embed="rId5"/>
                    <a:srcRect t="17249"/>
                    <a:stretch>
                      <a:fillRect/>
                    </a:stretch>
                  </pic:blipFill>
                  <pic:spPr>
                    <a:xfrm>
                      <a:off x="0" y="0"/>
                      <a:ext cx="5266690" cy="2360930"/>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构造开挖区底面（顶视图）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6690" cy="2367915"/>
            <wp:effectExtent l="0" t="0" r="10160" b="13335"/>
            <wp:docPr id="19" name="图片 19" descr="431b48848ec235bdc7b9e43f9de4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31b48848ec235bdc7b9e43f9de44d0"/>
                    <pic:cNvPicPr>
                      <a:picLocks noChangeAspect="1"/>
                    </pic:cNvPicPr>
                  </pic:nvPicPr>
                  <pic:blipFill>
                    <a:blip r:embed="rId6"/>
                    <a:srcRect t="17004"/>
                    <a:stretch>
                      <a:fillRect/>
                    </a:stretch>
                  </pic:blipFill>
                  <pic:spPr>
                    <a:xfrm>
                      <a:off x="0" y="0"/>
                      <a:ext cx="5266690" cy="236791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构造开挖区底面（前视图）</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both"/>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选中所有直线，输入目标高程，单击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设置底面高程</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，底面边界线会自动平移至对应位置。如图所示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6690" cy="2327275"/>
            <wp:effectExtent l="0" t="0" r="10160" b="15875"/>
            <wp:docPr id="16" name="图片 16" descr="f56f52891bd766b39a656b524affb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56f52891bd766b39a656b524affb31"/>
                    <pic:cNvPicPr>
                      <a:picLocks noChangeAspect="1"/>
                    </pic:cNvPicPr>
                  </pic:nvPicPr>
                  <pic:blipFill>
                    <a:blip r:embed="rId7"/>
                    <a:srcRect t="18429"/>
                    <a:stretch>
                      <a:fillRect/>
                    </a:stretch>
                  </pic:blipFill>
                  <pic:spPr>
                    <a:xfrm>
                      <a:off x="0" y="0"/>
                      <a:ext cx="5266690" cy="23272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eastAsia" w:ascii="楷体" w:hAnsi="楷体" w:eastAsia="楷体" w:cs="楷体"/>
          <w:kern w:val="2"/>
          <w:sz w:val="21"/>
          <w:szCs w:val="21"/>
          <w:lang w:val="en-US" w:eastAsia="zh-CN" w:bidi="ar-SA"/>
        </w:rPr>
        <w:t>开挖区高程设置（前视图）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2.1.3 锁定锚点</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选中地形元素，输入</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通用 元素隐藏</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元素隐藏</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键。隐藏选中的地形元素。单击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锁定锚点</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键,软件左下角弹出辅助文档：</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请选择锚点</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。光标变为十字形，单击开挖区内任意位置，参数设置界面内的X，Y，Z会自动更新为当前选定位置的三维坐标。接下来的放坡操作均会按照远离锚点的方向放坡。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8"/>
          <w:szCs w:val="28"/>
          <w:lang w:val="en-US" w:eastAsia="zh-CN" w:bidi="ar-SA"/>
        </w:rPr>
      </w:pPr>
      <w:r>
        <w:rPr>
          <w:rFonts w:hint="default" w:ascii="仿宋" w:hAnsi="仿宋" w:eastAsia="仿宋" w:cs="仿宋"/>
          <w:kern w:val="2"/>
          <w:sz w:val="28"/>
          <w:szCs w:val="28"/>
          <w:lang w:val="en-US" w:eastAsia="zh-CN" w:bidi="ar-SA"/>
        </w:rPr>
        <w:drawing>
          <wp:inline distT="0" distB="0" distL="114300" distR="114300">
            <wp:extent cx="5266690" cy="2366010"/>
            <wp:effectExtent l="0" t="0" r="10160" b="15240"/>
            <wp:docPr id="23" name="图片 23" descr="5979abf14d744de7d99c82623f60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979abf14d744de7d99c82623f6080f"/>
                    <pic:cNvPicPr>
                      <a:picLocks noChangeAspect="1"/>
                    </pic:cNvPicPr>
                  </pic:nvPicPr>
                  <pic:blipFill>
                    <a:blip r:embed="rId8"/>
                    <a:srcRect t="17071"/>
                    <a:stretch>
                      <a:fillRect/>
                    </a:stretch>
                  </pic:blipFill>
                  <pic:spPr>
                    <a:xfrm>
                      <a:off x="0" y="0"/>
                      <a:ext cx="5266690" cy="2366010"/>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锁定锚点（锁定前）</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8"/>
          <w:szCs w:val="28"/>
          <w:lang w:val="en-US" w:eastAsia="zh-CN" w:bidi="ar-SA"/>
        </w:rPr>
      </w:pPr>
      <w:r>
        <w:rPr>
          <w:rFonts w:hint="default" w:ascii="仿宋" w:hAnsi="仿宋" w:eastAsia="仿宋" w:cs="仿宋"/>
          <w:kern w:val="2"/>
          <w:sz w:val="28"/>
          <w:szCs w:val="28"/>
          <w:lang w:val="en-US" w:eastAsia="zh-CN" w:bidi="ar-SA"/>
        </w:rPr>
        <w:drawing>
          <wp:inline distT="0" distB="0" distL="114300" distR="114300">
            <wp:extent cx="5266690" cy="2367915"/>
            <wp:effectExtent l="0" t="0" r="10160" b="13335"/>
            <wp:docPr id="25" name="图片 25" descr="5598bb301fb8f71f07532d8cfc2d6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598bb301fb8f71f07532d8cfc2d6b7"/>
                    <pic:cNvPicPr>
                      <a:picLocks noChangeAspect="1"/>
                    </pic:cNvPicPr>
                  </pic:nvPicPr>
                  <pic:blipFill>
                    <a:blip r:embed="rId9"/>
                    <a:srcRect t="17004"/>
                    <a:stretch>
                      <a:fillRect/>
                    </a:stretch>
                  </pic:blipFill>
                  <pic:spPr>
                    <a:xfrm>
                      <a:off x="0" y="0"/>
                      <a:ext cx="5266690" cy="236791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锁定锚点（锁定后）</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eastAsia"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2.2放坡模块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2.2.1 基线放坡</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放坡 放坡界面</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放坡界面</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按钮启动参数设置面板，如图所示。本软件提供了两大类共计4种放坡方式，分别为：高差放坡、高差放坡（直坡）、高程放坡、高程放坡（直坡）。</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高差放坡可以将选定基线按照指定高度差放坡。选定需要放坡的基线，输入坡比、高差，单击“高差放坡”即可完成高差放坡。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27" name="图片 27" descr="6e6a35e5e533dfdd89baf4a72cfdf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e6a35e5e533dfdd89baf4a72cfdfc1"/>
                    <pic:cNvPicPr>
                      <a:picLocks noChangeAspect="1"/>
                    </pic:cNvPicPr>
                  </pic:nvPicPr>
                  <pic:blipFill>
                    <a:blip r:embed="rId10"/>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高差放坡（侧视图）</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高差放坡（直坡）可以将选定基线按照指定高度差放坡。放坡后的放坡线与基线构成垂直坡。选定需要放坡的基线，输入高差，单击“高差放坡-直”即可完成高差放坡。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29" name="图片 29" descr="fd4bc85e4bd13f7cb57f95c0a4737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d4bc85e4bd13f7cb57f95c0a4737e4"/>
                    <pic:cNvPicPr>
                      <a:picLocks noChangeAspect="1"/>
                    </pic:cNvPicPr>
                  </pic:nvPicPr>
                  <pic:blipFill>
                    <a:blip r:embed="rId11"/>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高差放坡-直坡（侧视图）</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高程放坡可以将选定基线放坡至指定高程。对于起点与终点Z坐标不同的空间直线，输入坡比、高程，高程放坡可以根据坡比计算真倾角。单击“高程放坡”即可完成指定高程、真倾角的高程放坡。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34" name="图片 34" descr="73b3298d8acd2d09852b8a5c56d4c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3b3298d8acd2d09852b8a5c56d4c59"/>
                    <pic:cNvPicPr>
                      <a:picLocks noChangeAspect="1"/>
                    </pic:cNvPicPr>
                  </pic:nvPicPr>
                  <pic:blipFill>
                    <a:blip r:embed="rId12"/>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高差放坡（右轴侧视图）</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高程放坡（直坡）可以将选定基线放坡至指定高程。对于起点与终点Z坐标不同的空间直线，输入高程、单击“高程放坡”即可完成直坡的高程放坡。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40" name="图片 40" descr="de5c4b6eaca3311ee11e9440ed89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e5c4b6eaca3311ee11e9440ed89e7f"/>
                    <pic:cNvPicPr>
                      <a:picLocks noChangeAspect="1"/>
                    </pic:cNvPicPr>
                  </pic:nvPicPr>
                  <pic:blipFill>
                    <a:blip r:embed="rId13"/>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高差放坡-直坡（右轴侧视图）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2.2.2 马道放坡</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本软件提供了两类共计4种马道放坡方法，分别为：马道放坡、多级马道放坡。其中马道放坡可以在指定平面对基线进行平移，放坡产生指定宽度的马道。多级马道放坡可以输入马道宽度、高差、坡比、级数，自动批量生成多级马道和斜坡。</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43" name="图片 43" descr="8e497809d25f18b3e54226e836f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e497809d25f18b3e54226e836f2979"/>
                    <pic:cNvPicPr>
                      <a:picLocks noChangeAspect="1"/>
                    </pic:cNvPicPr>
                  </pic:nvPicPr>
                  <pic:blipFill>
                    <a:blip r:embed="rId14"/>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马道放坡-右轴测视图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44" name="图片 44" descr="a86ee9b76b42407d364becc2908d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a86ee9b76b42407d364becc2908d5bc"/>
                    <pic:cNvPicPr>
                      <a:picLocks noChangeAspect="1"/>
                    </pic:cNvPicPr>
                  </pic:nvPicPr>
                  <pic:blipFill>
                    <a:blip r:embed="rId15"/>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多级马道放坡-右轴测视图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2.2.3 辅助功能</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针对放坡过程，本软件提供了两种辅助功能，分别是直线拟合功能和圆弧倒角功能。</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放坡 直线拟合</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直线拟合</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选定同一平面且不相交的两条线段，软件可根据线段方向自动延长寻找交点拟合，如图所示。对于3.2.1的基线放坡功能和3.2.2中的马道放坡功能，非直坡情况下生成的放坡线共面但不相交，可使用此功能实现放坡线快捷拟合。</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46" name="图片 46" descr="bc13a496a6cc8214ed397a50d9175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c13a496a6cc8214ed397a50d9175c2"/>
                    <pic:cNvPicPr>
                      <a:picLocks noChangeAspect="1"/>
                    </pic:cNvPicPr>
                  </pic:nvPicPr>
                  <pic:blipFill>
                    <a:blip r:embed="rId16"/>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直线拟合-拟合前</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eastAsia" w:ascii="仿宋" w:hAnsi="仿宋" w:eastAsia="仿宋" w:cs="仿宋"/>
          <w:kern w:val="2"/>
          <w:sz w:val="24"/>
          <w:szCs w:val="24"/>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47" name="图片 47" descr="786a69f32c95429d7de83bb4df65f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786a69f32c95429d7de83bb4df65fc8"/>
                    <pic:cNvPicPr>
                      <a:picLocks noChangeAspect="1"/>
                    </pic:cNvPicPr>
                  </pic:nvPicPr>
                  <pic:blipFill>
                    <a:blip r:embed="rId17"/>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直线拟合-拟合后</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放坡 圆弧倒角</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圆弧倒角</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按钮启动。选定同一平面的的两条线段，输入倒角半径，软件可根据半径自动构造倒角，如图所示。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785" cy="2025015"/>
            <wp:effectExtent l="0" t="0" r="12065" b="13335"/>
            <wp:docPr id="48" name="图片 48" descr="b9079156494b068f8c687d480bda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b9079156494b068f8c687d480bda287"/>
                    <pic:cNvPicPr>
                      <a:picLocks noChangeAspect="1"/>
                    </pic:cNvPicPr>
                  </pic:nvPicPr>
                  <pic:blipFill>
                    <a:blip r:embed="rId18"/>
                    <a:stretch>
                      <a:fillRect/>
                    </a:stretch>
                  </pic:blipFill>
                  <pic:spPr>
                    <a:xfrm>
                      <a:off x="0" y="0"/>
                      <a:ext cx="5264785" cy="202501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圆弧倒角-倒角后</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2.3三维处理模块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2.3.1 构造开挖面</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选中3.2步骤中构造的所有开挖线，使用mdl命令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三维 构造开挖面</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构造开挖面</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按钮启动功能。软件会根据开挖线自动构筑三维开挖体。</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50" name="图片 50" descr="d6c0e06bc121c030258cf14794fad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6c0e06bc121c030258cf14794fad0d"/>
                    <pic:cNvPicPr>
                      <a:picLocks noChangeAspect="1"/>
                    </pic:cNvPicPr>
                  </pic:nvPicPr>
                  <pic:blipFill>
                    <a:blip r:embed="rId19"/>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eastAsia" w:ascii="楷体" w:hAnsi="楷体" w:eastAsia="楷体" w:cs="楷体"/>
          <w:kern w:val="2"/>
          <w:sz w:val="21"/>
          <w:szCs w:val="21"/>
          <w:lang w:val="en-US" w:eastAsia="zh-CN" w:bidi="ar-SA"/>
        </w:rPr>
        <w:t>三维开挖面（右轴测视图）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2.3.2 岩层处理</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Excavation 三维 三维处理</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三维处理</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按钮启动功能。首先选择需要处理的地形元素，点击“锁定地形”按钮。之后选择需要处理的开挖面元素，点击“锁定开挖面”按钮。锁定完成后功能面板上显示了地层元素id号和开挖面元素id号。</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51" name="图片 51" descr="6495c5aa2ee6eaaff4dc64a46ed6c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6495c5aa2ee6eaaff4dc64a46ed6c6e"/>
                    <pic:cNvPicPr>
                      <a:picLocks noChangeAspect="1"/>
                    </pic:cNvPicPr>
                  </pic:nvPicPr>
                  <pic:blipFill>
                    <a:blip r:embed="rId20"/>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锁定地形元素和开挖面元素</w:t>
      </w:r>
    </w:p>
    <w:p>
      <w:pPr>
        <w:pStyle w:val="9"/>
        <w:keepNext/>
        <w:keepLines/>
        <w:pageBreakBefore w:val="0"/>
        <w:widowControl w:val="0"/>
        <w:kinsoku/>
        <w:wordWrap/>
        <w:overflowPunct/>
        <w:topLinePunct w:val="0"/>
        <w:autoSpaceDE/>
        <w:autoSpaceDN/>
        <w:bidi w:val="0"/>
        <w:adjustRightInd w:val="0"/>
        <w:snapToGrid w:val="0"/>
        <w:spacing w:before="0" w:after="0" w:line="288" w:lineRule="auto"/>
        <w:ind w:firstLine="480" w:firstLineChars="200"/>
        <w:textAlignment w:val="auto"/>
        <w:outlineLvl w:val="9"/>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单击“提取开挖区”按钮，提取开挖部分三维结构。选择开挖部分三维结构，单击“提取边界线”按钮，提取开挖区地层交线。</w:t>
      </w:r>
    </w:p>
    <w:p>
      <w:pPr>
        <w:rPr>
          <w:rFonts w:hint="default"/>
          <w:lang w:val="en-US" w:eastAsia="zh-CN"/>
        </w:rPr>
      </w:pPr>
      <w:r>
        <w:rPr>
          <w:rFonts w:hint="default"/>
          <w:lang w:val="en-US" w:eastAsia="zh-CN"/>
        </w:rPr>
        <w:drawing>
          <wp:inline distT="0" distB="0" distL="114300" distR="114300">
            <wp:extent cx="5264150" cy="2632075"/>
            <wp:effectExtent l="0" t="0" r="12700" b="15875"/>
            <wp:docPr id="52" name="图片 52" descr="524f223d6f917736c16a2aa3029f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24f223d6f917736c16a2aa3029f118"/>
                    <pic:cNvPicPr>
                      <a:picLocks noChangeAspect="1"/>
                    </pic:cNvPicPr>
                  </pic:nvPicPr>
                  <pic:blipFill>
                    <a:blip r:embed="rId21"/>
                    <a:stretch>
                      <a:fillRect/>
                    </a:stretch>
                  </pic:blipFill>
                  <pic:spPr>
                    <a:xfrm>
                      <a:off x="0" y="0"/>
                      <a:ext cx="5264150" cy="2632075"/>
                    </a:xfrm>
                    <a:prstGeom prst="rect">
                      <a:avLst/>
                    </a:prstGeom>
                  </pic:spPr>
                </pic:pic>
              </a:graphicData>
            </a:graphic>
          </wp:inline>
        </w:drawing>
      </w:r>
    </w:p>
    <w:p>
      <w:pPr>
        <w:jc w:val="center"/>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提取开挖区三维结构</w:t>
      </w:r>
    </w:p>
    <w:p>
      <w:pPr>
        <w:pStyle w:val="9"/>
        <w:keepNext/>
        <w:keepLines/>
        <w:pageBreakBefore w:val="0"/>
        <w:widowControl w:val="0"/>
        <w:kinsoku/>
        <w:wordWrap/>
        <w:overflowPunct/>
        <w:topLinePunct w:val="0"/>
        <w:autoSpaceDE/>
        <w:autoSpaceDN/>
        <w:bidi w:val="0"/>
        <w:adjustRightInd w:val="0"/>
        <w:snapToGrid w:val="0"/>
        <w:spacing w:before="0" w:after="0" w:line="288" w:lineRule="auto"/>
        <w:ind w:firstLine="480" w:firstLineChars="200"/>
        <w:textAlignment w:val="auto"/>
        <w:outlineLvl w:val="9"/>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设置好简化参数，单击“简化边界线”按钮。软件对开挖区地层交线自动拟合并生成结果。不同简化参数的简化效率如下图标：</w:t>
      </w:r>
    </w:p>
    <w:tbl>
      <w:tblP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79"/>
        <w:gridCol w:w="1510"/>
        <w:gridCol w:w="1079"/>
        <w:gridCol w:w="1079"/>
        <w:gridCol w:w="971"/>
        <w:gridCol w:w="1402"/>
        <w:gridCol w:w="14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05" w:hRule="atLeast"/>
        </w:trPr>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简化参数</w:t>
            </w:r>
          </w:p>
        </w:tc>
        <w:tc>
          <w:tcPr>
            <w:tcW w:w="88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简化后直线数</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简化效率</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开挖量</w:t>
            </w:r>
          </w:p>
        </w:tc>
        <w:tc>
          <w:tcPr>
            <w:tcW w:w="569"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误差</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误差率</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误差率（%）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rPr>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w:t>
            </w:r>
          </w:p>
        </w:tc>
        <w:tc>
          <w:tcPr>
            <w:tcW w:w="88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23</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33529.03</w:t>
            </w:r>
          </w:p>
        </w:tc>
        <w:tc>
          <w:tcPr>
            <w:tcW w:w="569"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rPr>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10</w:t>
            </w:r>
          </w:p>
        </w:tc>
        <w:tc>
          <w:tcPr>
            <w:tcW w:w="88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13</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0.434783</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33596.75</w:t>
            </w:r>
          </w:p>
        </w:tc>
        <w:tc>
          <w:tcPr>
            <w:tcW w:w="569"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67.716</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0.002019623</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0.201962299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rPr>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20</w:t>
            </w:r>
          </w:p>
        </w:tc>
        <w:tc>
          <w:tcPr>
            <w:tcW w:w="88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9</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0.608696</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33688.07</w:t>
            </w:r>
          </w:p>
        </w:tc>
        <w:tc>
          <w:tcPr>
            <w:tcW w:w="569"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159.039</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0.004743322</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0.474332241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05" w:hRule="atLeast"/>
        </w:trPr>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30</w:t>
            </w:r>
          </w:p>
        </w:tc>
        <w:tc>
          <w:tcPr>
            <w:tcW w:w="88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8</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0.652174</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33623.56</w:t>
            </w:r>
          </w:p>
        </w:tc>
        <w:tc>
          <w:tcPr>
            <w:tcW w:w="569"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94.5341</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0.00281947</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0.281947016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rPr>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40</w:t>
            </w:r>
          </w:p>
        </w:tc>
        <w:tc>
          <w:tcPr>
            <w:tcW w:w="88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8</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0.652174</w:t>
            </w:r>
          </w:p>
        </w:tc>
        <w:tc>
          <w:tcPr>
            <w:tcW w:w="6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33623.78</w:t>
            </w:r>
          </w:p>
        </w:tc>
        <w:tc>
          <w:tcPr>
            <w:tcW w:w="569"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94.7547</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0.00282605</w:t>
            </w:r>
          </w:p>
        </w:tc>
        <w:tc>
          <w:tcPr>
            <w:tcW w:w="82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仿宋" w:hAnsi="仿宋" w:eastAsia="仿宋" w:cs="仿宋"/>
                <w:i w:val="0"/>
                <w:iCs w:val="0"/>
                <w:color w:val="000000"/>
                <w:sz w:val="32"/>
                <w:szCs w:val="32"/>
                <w:u w:val="none"/>
              </w:rPr>
            </w:pPr>
            <w:r>
              <w:rPr>
                <w:rFonts w:hint="eastAsia" w:ascii="仿宋" w:hAnsi="仿宋" w:eastAsia="仿宋" w:cs="仿宋"/>
                <w:i w:val="0"/>
                <w:iCs w:val="0"/>
                <w:color w:val="000000"/>
                <w:kern w:val="0"/>
                <w:sz w:val="32"/>
                <w:szCs w:val="32"/>
                <w:u w:val="none"/>
                <w:bdr w:val="none" w:color="auto" w:sz="0" w:space="0"/>
                <w:lang w:val="en-US" w:eastAsia="zh-CN" w:bidi="ar"/>
              </w:rPr>
              <w:t>0.282604954</w:t>
            </w:r>
          </w:p>
        </w:tc>
      </w:tr>
    </w:tbl>
    <w:p>
      <w:pPr>
        <w:jc w:val="center"/>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不同简化参数-简化效率</w:t>
      </w:r>
    </w:p>
    <w:p>
      <w:pPr>
        <w:jc w:val="center"/>
        <w:rPr>
          <w:rFonts w:hint="eastAsia" w:ascii="楷体" w:hAnsi="楷体" w:eastAsia="楷体" w:cs="楷体"/>
          <w:kern w:val="2"/>
          <w:sz w:val="21"/>
          <w:szCs w:val="21"/>
          <w:lang w:val="en-US" w:eastAsia="zh-CN" w:bidi="ar-SA"/>
        </w:rPr>
      </w:pPr>
    </w:p>
    <w:p>
      <w:pPr>
        <w:jc w:val="center"/>
      </w:pPr>
      <w:r>
        <w:drawing>
          <wp:inline distT="0" distB="0" distL="114300" distR="114300">
            <wp:extent cx="4826000" cy="2743200"/>
            <wp:effectExtent l="4445" t="4445" r="8255" b="14605"/>
            <wp:docPr id="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jc w:val="center"/>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不同简化参数-简化后直线数量</w:t>
      </w:r>
    </w:p>
    <w:p>
      <w:pPr>
        <w:jc w:val="center"/>
        <w:rPr>
          <w:rFonts w:hint="eastAsia" w:ascii="楷体" w:hAnsi="楷体" w:eastAsia="楷体" w:cs="楷体"/>
          <w:kern w:val="2"/>
          <w:sz w:val="21"/>
          <w:szCs w:val="21"/>
          <w:lang w:val="en-US" w:eastAsia="zh-CN" w:bidi="ar-SA"/>
        </w:rPr>
      </w:pPr>
    </w:p>
    <w:p>
      <w:pPr>
        <w:jc w:val="center"/>
      </w:pPr>
      <w:r>
        <w:drawing>
          <wp:inline distT="0" distB="0" distL="114300" distR="114300">
            <wp:extent cx="5270500" cy="2402840"/>
            <wp:effectExtent l="4445" t="4445" r="20955" b="12065"/>
            <wp:docPr id="11"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jc w:val="center"/>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不同简化参数-开挖量误差</w:t>
      </w:r>
    </w:p>
    <w:p>
      <w:pPr>
        <w:jc w:val="center"/>
      </w:pPr>
      <w:r>
        <w:drawing>
          <wp:inline distT="0" distB="0" distL="114300" distR="114300">
            <wp:extent cx="4826000" cy="2743200"/>
            <wp:effectExtent l="4445" t="4445" r="8255" b="14605"/>
            <wp:docPr id="2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jc w:val="center"/>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不同简化参数-综合性能分析</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2.4剖面模块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2.4.1 三维剪切</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选中需要剪切的一个或多个三维面，使用mdl命令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三维出图工具 出图 三维剪切</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三维剪切</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按钮启动参数设置面板，如图所示。剪切区默认高度400米。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在模型上绘制一条直线代表剪切方向，单击“三维剪切”按钮启动三维剪切功能。软件会将方向直线上下各自平移剪切区高度构造剪切面，本例中即构造800米高度的剪切面，对三维面进行剖切。剖切结果如下图。对三个地层同时进行三维剪切，从上到下依次为：绿色、黄色、红色。</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24" name="图片 24" descr="be2ae668b96c57c73b40d291268c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e2ae668b96c57c73b40d291268c823"/>
                    <pic:cNvPicPr>
                      <a:picLocks noChangeAspect="1"/>
                    </pic:cNvPicPr>
                  </pic:nvPicPr>
                  <pic:blipFill>
                    <a:blip r:embed="rId25"/>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eastAsia" w:ascii="楷体" w:hAnsi="楷体" w:eastAsia="楷体" w:cs="楷体"/>
          <w:kern w:val="2"/>
          <w:sz w:val="21"/>
          <w:szCs w:val="21"/>
          <w:lang w:val="en-US" w:eastAsia="zh-CN" w:bidi="ar-SA"/>
        </w:rPr>
        <w:t>地形三维剪切前</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22" name="图片 22" descr="2755c0636f13dd317f3f133ead67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755c0636f13dd317f3f133ead673b0"/>
                    <pic:cNvPicPr>
                      <a:picLocks noChangeAspect="1"/>
                    </pic:cNvPicPr>
                  </pic:nvPicPr>
                  <pic:blipFill>
                    <a:blip r:embed="rId26"/>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地形三维剪切后</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三维剪切功能同样可以对开挖区域进行剪切，剪切后的三维模型可以导出为PDF文件，实现三维出图。三维开挖模型结合3.1中导出的控制点坐标信息和3.2中工程量计算结果导出的Excel表格，可实现完整的BIM三维模型交付指导施工。</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10" name="图片 10" descr="96f3661974e3b2cd40c46b874313c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6f3661974e3b2cd40c46b874313ca7"/>
                    <pic:cNvPicPr>
                      <a:picLocks noChangeAspect="1"/>
                    </pic:cNvPicPr>
                  </pic:nvPicPr>
                  <pic:blipFill>
                    <a:blip r:embed="rId27"/>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开挖区三维剪切前（顶视图）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3" name="图片 3" descr="36160ce794997a46a8b1e03dcadf0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6160ce794997a46a8b1e03dcadf02d"/>
                    <pic:cNvPicPr>
                      <a:picLocks noChangeAspect="1"/>
                    </pic:cNvPicPr>
                  </pic:nvPicPr>
                  <pic:blipFill>
                    <a:blip r:embed="rId28"/>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开挖区三维剪切后（顶视图）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5" name="图片 5" descr="24c7904cf66f2ac9dcca26b98a06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4c7904cf66f2ac9dcca26b98a06a17"/>
                    <pic:cNvPicPr>
                      <a:picLocks noChangeAspect="1"/>
                    </pic:cNvPicPr>
                  </pic:nvPicPr>
                  <pic:blipFill>
                    <a:blip r:embed="rId29"/>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开挖区三维剪切后（右轴测视图）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2.4.2 提取剖面线</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选中三维剪切后的三维面，单击“提取剖面线”按钮，可自定义提取三维剖面边界并输出为折线。输出的折线可以导出到CAD中编辑使用，或导出为PDF出图。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26" name="图片 26" descr="3f3c2ed3987b379521be24c4f3dc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f3c2ed3987b379521be24c4f3dc03b"/>
                    <pic:cNvPicPr>
                      <a:picLocks noChangeAspect="1"/>
                    </pic:cNvPicPr>
                  </pic:nvPicPr>
                  <pic:blipFill>
                    <a:blip r:embed="rId30"/>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b/>
          <w:bCs/>
          <w:kern w:val="2"/>
          <w:sz w:val="24"/>
          <w:szCs w:val="24"/>
          <w:lang w:val="en-US" w:eastAsia="zh-CN" w:bidi="ar-SA"/>
        </w:rPr>
      </w:pPr>
      <w:r>
        <w:rPr>
          <w:rFonts w:hint="eastAsia" w:ascii="楷体" w:hAnsi="楷体" w:eastAsia="楷体" w:cs="楷体"/>
          <w:kern w:val="2"/>
          <w:sz w:val="21"/>
          <w:szCs w:val="21"/>
          <w:lang w:val="en-US" w:eastAsia="zh-CN" w:bidi="ar-SA"/>
        </w:rPr>
        <w:t>折线提取结果</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eastAsia"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2.5标注模块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b/>
          <w:bCs/>
          <w:kern w:val="2"/>
          <w:sz w:val="24"/>
          <w:szCs w:val="24"/>
          <w:lang w:val="en-US" w:eastAsia="zh-CN" w:bidi="ar-SA"/>
        </w:rPr>
      </w:pPr>
      <w:r>
        <w:rPr>
          <w:rFonts w:hint="eastAsia" w:ascii="仿宋" w:hAnsi="仿宋" w:eastAsia="仿宋" w:cs="仿宋"/>
          <w:b w:val="0"/>
          <w:bCs w:val="0"/>
          <w:kern w:val="2"/>
          <w:sz w:val="24"/>
          <w:szCs w:val="24"/>
          <w:lang w:val="en-US" w:eastAsia="zh-CN" w:bidi="ar-SA"/>
        </w:rPr>
        <w:t>使用mdl命令</w:t>
      </w:r>
      <w:r>
        <w:rPr>
          <w:rFonts w:hint="default" w:ascii="仿宋" w:hAnsi="仿宋" w:eastAsia="仿宋" w:cs="仿宋"/>
          <w:b w:val="0"/>
          <w:bCs w:val="0"/>
          <w:kern w:val="2"/>
          <w:sz w:val="24"/>
          <w:szCs w:val="24"/>
          <w:lang w:val="en-US" w:eastAsia="zh-CN" w:bidi="ar-SA"/>
        </w:rPr>
        <w:t>”</w:t>
      </w:r>
      <w:r>
        <w:rPr>
          <w:rFonts w:hint="eastAsia" w:ascii="仿宋" w:hAnsi="仿宋" w:eastAsia="仿宋" w:cs="仿宋"/>
          <w:kern w:val="2"/>
          <w:sz w:val="24"/>
          <w:szCs w:val="24"/>
          <w:lang w:val="en-US" w:eastAsia="zh-CN" w:bidi="ar-SA"/>
        </w:rPr>
        <w:t>三维出图工具 标注 标注模块</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标注</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2.5.1 坡比标注</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择要添加三维标注的直线，在“名称”栏选择坡比，输入要标注的坡比。单击“添加属性”按钮，即可为直线附加坡比属性。选择一个或多个具有坡比属性的元素，单击“标注坡比”按钮，即可在三维空间中实现坡比标注的功能，自动绘制示坡线并标注坡比。</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drawing>
          <wp:inline distT="0" distB="0" distL="114300" distR="114300">
            <wp:extent cx="5264150" cy="2632075"/>
            <wp:effectExtent l="0" t="0" r="12700" b="15875"/>
            <wp:docPr id="9" name="图片 9" descr="5cb4eaadef6322372ac22687c5f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cb4eaadef6322372ac22687c5f3897"/>
                    <pic:cNvPicPr>
                      <a:picLocks noChangeAspect="1"/>
                    </pic:cNvPicPr>
                  </pic:nvPicPr>
                  <pic:blipFill>
                    <a:blip r:embed="rId31"/>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坡比标注（右轴测视图）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8" name="图片 8" descr="6203928da94c63313ef8f0d9d74f7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203928da94c63313ef8f0d9d74f7f8"/>
                    <pic:cNvPicPr>
                      <a:picLocks noChangeAspect="1"/>
                    </pic:cNvPicPr>
                  </pic:nvPicPr>
                  <pic:blipFill>
                    <a:blip r:embed="rId32"/>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坡比标注（顶视图）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rPr>
          <w:rFonts w:hint="eastAsia" w:ascii="仿宋" w:hAnsi="仿宋" w:eastAsia="仿宋" w:cs="仿宋"/>
          <w:b/>
          <w:bCs/>
          <w:kern w:val="2"/>
          <w:sz w:val="24"/>
          <w:szCs w:val="24"/>
          <w:lang w:val="en-US" w:eastAsia="zh-CN" w:bidi="ar-SA"/>
        </w:rPr>
      </w:pP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2.5.2 高程标注</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选择两个不重叠的空间直线，单击“标注高程”键。如果两个空间直线构成的平面与XoY平面平行，则会在该平面处绘制矩形线框，线框内保留两位小数标注平面高程。</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6" name="图片 6" descr="eb0ba0c20d7b4b72bece5f8df45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b0ba0c20d7b4b72bece5f8df457937"/>
                    <pic:cNvPicPr>
                      <a:picLocks noChangeAspect="1"/>
                    </pic:cNvPicPr>
                  </pic:nvPicPr>
                  <pic:blipFill>
                    <a:blip r:embed="rId33"/>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高程标注（右轴测视图）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7" name="图片 7" descr="c43820b35f422c4b2d2c16e0657e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43820b35f422c4b2d2c16e0657e1a3"/>
                    <pic:cNvPicPr>
                      <a:picLocks noChangeAspect="1"/>
                    </pic:cNvPicPr>
                  </pic:nvPicPr>
                  <pic:blipFill>
                    <a:blip r:embed="rId34"/>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高程标注（顶视图）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2.5.3 控制点坐标标注</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单击“标注控制点”键，进入控制点标注模式。选择两条相交直线，单击空白区域确认即可设置直线交点为控制点，单击右键即可退出控制点标注模式。对整个三维模型的控制点标注完成后，单击“输出控制点”键，会按照控制点标注顺序自动为控制点编码、显示在三维模型上，并将对应点信息存储为Excel，方便工程后期出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12" name="图片 12" descr="2866c862e9aeac4e4b3a4420ebac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866c862e9aeac4e4b3a4420ebacadd"/>
                    <pic:cNvPicPr>
                      <a:picLocks noChangeAspect="1"/>
                    </pic:cNvPicPr>
                  </pic:nvPicPr>
                  <pic:blipFill>
                    <a:blip r:embed="rId35"/>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控制点标注（右轴测视图）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64150" cy="2632075"/>
            <wp:effectExtent l="0" t="0" r="12700" b="15875"/>
            <wp:docPr id="14" name="图片 14" descr="774386bd55cac6c0f8c76e5d18188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74386bd55cac6c0f8c76e5d18188db"/>
                    <pic:cNvPicPr>
                      <a:picLocks noChangeAspect="1"/>
                    </pic:cNvPicPr>
                  </pic:nvPicPr>
                  <pic:blipFill>
                    <a:blip r:embed="rId36"/>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控制点标注（右轴测视图-放大）</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4150" cy="2632075"/>
            <wp:effectExtent l="0" t="0" r="12700" b="15875"/>
            <wp:docPr id="13" name="图片 13" descr="04684f4dd94febe572ecb828264b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4684f4dd94febe572ecb828264b3dc"/>
                    <pic:cNvPicPr>
                      <a:picLocks noChangeAspect="1"/>
                    </pic:cNvPicPr>
                  </pic:nvPicPr>
                  <pic:blipFill>
                    <a:blip r:embed="rId37"/>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控制点标注（顶视图）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2.6统计模块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b/>
          <w:bCs/>
          <w:kern w:val="2"/>
          <w:sz w:val="24"/>
          <w:szCs w:val="24"/>
          <w:lang w:val="en-US" w:eastAsia="zh-CN" w:bidi="ar-SA"/>
        </w:rPr>
      </w:pPr>
      <w:r>
        <w:rPr>
          <w:rFonts w:hint="eastAsia" w:ascii="仿宋" w:hAnsi="仿宋" w:eastAsia="仿宋" w:cs="仿宋"/>
          <w:kern w:val="2"/>
          <w:sz w:val="24"/>
          <w:szCs w:val="24"/>
          <w:lang w:val="en-US" w:eastAsia="zh-CN" w:bidi="ar-SA"/>
        </w:rPr>
        <w:t>使用mdl命令</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三维出图工具 工程量计算 支护区计算</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或单击</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工程量计算</w:t>
      </w:r>
      <w:r>
        <w:rPr>
          <w:rFonts w:hint="default" w:ascii="仿宋" w:hAnsi="仿宋" w:eastAsia="仿宋" w:cs="仿宋"/>
          <w:kern w:val="2"/>
          <w:sz w:val="24"/>
          <w:szCs w:val="24"/>
          <w:lang w:val="en-US" w:eastAsia="zh-CN" w:bidi="ar-SA"/>
        </w:rPr>
        <w:t>”</w:t>
      </w:r>
      <w:r>
        <w:rPr>
          <w:rFonts w:hint="eastAsia" w:ascii="仿宋" w:hAnsi="仿宋" w:eastAsia="仿宋" w:cs="仿宋"/>
          <w:kern w:val="2"/>
          <w:sz w:val="24"/>
          <w:szCs w:val="24"/>
          <w:lang w:val="en-US" w:eastAsia="zh-CN" w:bidi="ar-SA"/>
        </w:rPr>
        <w:t>按钮启动参数设置面板。</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2.6.1 划分支护区</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选择三维模型中需要标注的若干面，调整支护区号，单击“划分支护区”按钮即可实现支护区划分的功能。划分支护区后，同一支护区的若干三维面会以同种颜色标记。如图所示，为该三维模型划分了5个不同的支护区，按顺序分别标识为蓝色、绿色、红色、黄色、粉色。灰色部分未划分支护区。</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1" name="图片 1" descr="dd4f105b2c51fe98455a941ac7ce1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d4f105b2c51fe98455a941ac7ce1ae"/>
                    <pic:cNvPicPr>
                      <a:picLocks noChangeAspect="1"/>
                    </pic:cNvPicPr>
                  </pic:nvPicPr>
                  <pic:blipFill>
                    <a:blip r:embed="rId38"/>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支护区划分前（右轴测视图）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both"/>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64150" cy="2632075"/>
            <wp:effectExtent l="0" t="0" r="12700" b="15875"/>
            <wp:docPr id="17" name="图片 17" descr="dce3cdd73e37f5f542db71c79be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ce3cdd73e37f5f542db71c79be0139"/>
                    <pic:cNvPicPr>
                      <a:picLocks noChangeAspect="1"/>
                    </pic:cNvPicPr>
                  </pic:nvPicPr>
                  <pic:blipFill>
                    <a:blip r:embed="rId39"/>
                    <a:stretch>
                      <a:fillRect/>
                    </a:stretch>
                  </pic:blipFill>
                  <pic:spPr>
                    <a:xfrm>
                      <a:off x="0" y="0"/>
                      <a:ext cx="5264150" cy="263207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支护区划分结果（右轴测视图）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2.6.2 支护量计算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本软件提供了3种支护量计算类型，包括锚杆量计算、喷混量计算、钢筋网计算。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锚杆量计算：选定需要计算锚杆量的支护区，输入横向拉筋间距。软件会自动计算该支护区布设所需的大致锚杆数量，并记录设计时输入的的横向拉筋间距；</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喷混量计算：选定需要计算喷混量的支护区，输入混凝土厚度。软件会自动计算该支护区布设所需的混凝土量/立方米，并记录设计时输入的混凝土厚度；</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钢筋网计算：选定需要计算钢筋网的支护区，输入钢筋间排距和钢筋直径。软件会自动根据规范计算该规格钢筋网用于本支护区布设时所需的钢筋网质量/吨，并记录设计时输入的钢筋间排距和钢筋直径；</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如图所示，在该三维模型的各个支护区分别做出如下计算：</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支护区1：锚杆间距0.2米；喷混厚度0.1厘米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支护区2：钢筋间排距0.1米、钢筋型号6毫米；锚杆间距0.3米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支护区3：喷混厚度0.2厘米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支护区4：喷混厚度0.3厘米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支护区5：锚杆间距0.2米</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以支护区2为例，归属于支护区2的某块区域自动计算结果如下图，该区域归属于支护区2，支护面积240.42平方米。钢筋网质量10.67吨，施工需锚杆2672根。</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drawing>
          <wp:inline distT="0" distB="0" distL="114300" distR="114300">
            <wp:extent cx="5266690" cy="2183765"/>
            <wp:effectExtent l="0" t="0" r="10160" b="6985"/>
            <wp:docPr id="20" name="图片 20" descr="62dced3eae67b28965fd5a1f424ac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2dced3eae67b28965fd5a1f424ac1e"/>
                    <pic:cNvPicPr>
                      <a:picLocks noChangeAspect="1"/>
                    </pic:cNvPicPr>
                  </pic:nvPicPr>
                  <pic:blipFill>
                    <a:blip r:embed="rId40"/>
                    <a:stretch>
                      <a:fillRect/>
                    </a:stretch>
                  </pic:blipFill>
                  <pic:spPr>
                    <a:xfrm>
                      <a:off x="0" y="0"/>
                      <a:ext cx="5266690" cy="218376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支护量计算</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2.6.3 计算结果导出</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基于以上支护量计算功能产出的计算结果，本软件提供了计算结果导出功能，单击“支护信息导出”键，软件可自动统计当前设计文件中存在的支护区，并合并计算各支护区工程数据导出为Excel，方便工程后期出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5273040" cy="773430"/>
            <wp:effectExtent l="0" t="0" r="3810" b="7620"/>
            <wp:docPr id="21" name="图片 21" descr="b738e860944d9315941fb1902137f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738e860944d9315941fb1902137f1b"/>
                    <pic:cNvPicPr>
                      <a:picLocks noChangeAspect="1"/>
                    </pic:cNvPicPr>
                  </pic:nvPicPr>
                  <pic:blipFill>
                    <a:blip r:embed="rId41"/>
                    <a:stretch>
                      <a:fillRect/>
                    </a:stretch>
                  </pic:blipFill>
                  <pic:spPr>
                    <a:xfrm>
                      <a:off x="0" y="0"/>
                      <a:ext cx="5273040" cy="773430"/>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计算结果导出</w:t>
      </w:r>
    </w:p>
    <w:p>
      <w:pPr>
        <w:pStyle w:val="2"/>
        <w:keepNext/>
        <w:keepLines/>
        <w:pageBreakBefore w:val="0"/>
        <w:widowControl w:val="0"/>
        <w:kinsoku/>
        <w:wordWrap/>
        <w:overflowPunct/>
        <w:topLinePunct w:val="0"/>
        <w:autoSpaceDE/>
        <w:autoSpaceDN/>
        <w:bidi w:val="0"/>
        <w:adjustRightInd/>
        <w:snapToGrid/>
        <w:spacing w:before="0" w:after="0" w:line="416" w:lineRule="auto"/>
        <w:textAlignment w:val="auto"/>
        <w:outlineLvl w:val="1"/>
        <w:rPr>
          <w:rFonts w:hint="default"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2.7 标准化出图</w:t>
      </w:r>
    </w:p>
    <w:p>
      <w:pPr>
        <w:pStyle w:val="8"/>
        <w:keepNext w:val="0"/>
        <w:keepLines w:val="0"/>
        <w:pageBreakBefore w:val="0"/>
        <w:widowControl w:val="0"/>
        <w:kinsoku/>
        <w:wordWrap/>
        <w:overflowPunct/>
        <w:topLinePunct w:val="0"/>
        <w:autoSpaceDE/>
        <w:autoSpaceDN/>
        <w:bidi w:val="0"/>
        <w:adjustRightInd w:val="0"/>
        <w:snapToGrid w:val="0"/>
        <w:spacing w:line="288" w:lineRule="auto"/>
        <w:textAlignment w:val="auto"/>
        <w:outlineLvl w:val="2"/>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2.7.1 标准化表格放置</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在2.5标注模块和2.6统计模块的基础上，追加开发了标准化表格放置功能，可自动生成XoY平面的图标，支持一建放置，支持用户以拖拽的形式改变表格大小。</w:t>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jc w:val="left"/>
        <w:textAlignment w:val="auto"/>
        <w:rPr>
          <w:rFonts w:hint="default"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功能界面和标准化表格效果如图。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distribute"/>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drawing>
          <wp:inline distT="0" distB="0" distL="114300" distR="114300">
            <wp:extent cx="1972310" cy="4227195"/>
            <wp:effectExtent l="0" t="0" r="8890" b="1905"/>
            <wp:docPr id="32" name="图片 32" descr="1e3131c1f00e2b312effd53dea17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e3131c1f00e2b312effd53dea17e17"/>
                    <pic:cNvPicPr>
                      <a:picLocks noChangeAspect="1"/>
                    </pic:cNvPicPr>
                  </pic:nvPicPr>
                  <pic:blipFill>
                    <a:blip r:embed="rId42"/>
                    <a:stretch>
                      <a:fillRect/>
                    </a:stretch>
                  </pic:blipFill>
                  <pic:spPr>
                    <a:xfrm>
                      <a:off x="0" y="0"/>
                      <a:ext cx="1972310" cy="4227195"/>
                    </a:xfrm>
                    <a:prstGeom prst="rect">
                      <a:avLst/>
                    </a:prstGeom>
                  </pic:spPr>
                </pic:pic>
              </a:graphicData>
            </a:graphic>
          </wp:inline>
        </w:drawing>
      </w:r>
      <w:r>
        <w:rPr>
          <w:rFonts w:hint="eastAsia" w:ascii="楷体" w:hAnsi="楷体" w:eastAsia="楷体" w:cs="楷体"/>
          <w:kern w:val="2"/>
          <w:sz w:val="21"/>
          <w:szCs w:val="21"/>
          <w:lang w:val="en-US" w:eastAsia="zh-CN" w:bidi="ar-SA"/>
        </w:rPr>
        <w:drawing>
          <wp:inline distT="0" distB="0" distL="114300" distR="114300">
            <wp:extent cx="2470785" cy="4241165"/>
            <wp:effectExtent l="0" t="0" r="5715" b="6985"/>
            <wp:docPr id="33" name="图片 33" descr="e1ddc67288c567e74d0d30c9b50ab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1ddc67288c567e74d0d30c9b50ab6b"/>
                    <pic:cNvPicPr>
                      <a:picLocks noChangeAspect="1"/>
                    </pic:cNvPicPr>
                  </pic:nvPicPr>
                  <pic:blipFill>
                    <a:blip r:embed="rId43"/>
                    <a:stretch>
                      <a:fillRect/>
                    </a:stretch>
                  </pic:blipFill>
                  <pic:spPr>
                    <a:xfrm>
                      <a:off x="0" y="0"/>
                      <a:ext cx="2470785" cy="424116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ind w:firstLine="210" w:firstLineChars="100"/>
        <w:jc w:val="left"/>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2.5标注模块-标准化表格放置               2.6统计模块-标准化表格放置</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71135" cy="2800985"/>
            <wp:effectExtent l="0" t="0" r="5715" b="18415"/>
            <wp:docPr id="36" name="图片 36" descr="fda9283285d21c4196ce7b98ec2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da9283285d21c4196ce7b98ec24897"/>
                    <pic:cNvPicPr>
                      <a:picLocks noChangeAspect="1"/>
                    </pic:cNvPicPr>
                  </pic:nvPicPr>
                  <pic:blipFill>
                    <a:blip r:embed="rId44"/>
                    <a:stretch>
                      <a:fillRect/>
                    </a:stretch>
                  </pic:blipFill>
                  <pic:spPr>
                    <a:xfrm>
                      <a:off x="0" y="0"/>
                      <a:ext cx="5271135" cy="280098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三维空间标准化表格效果图-顶视图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71135" cy="2800985"/>
            <wp:effectExtent l="0" t="0" r="5715" b="18415"/>
            <wp:docPr id="37" name="图片 37" descr="c344c387e9b31e0a5e7a0bd3541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344c387e9b31e0a5e7a0bd35411023"/>
                    <pic:cNvPicPr>
                      <a:picLocks noChangeAspect="1"/>
                    </pic:cNvPicPr>
                  </pic:nvPicPr>
                  <pic:blipFill>
                    <a:blip r:embed="rId45"/>
                    <a:stretch>
                      <a:fillRect/>
                    </a:stretch>
                  </pic:blipFill>
                  <pic:spPr>
                    <a:xfrm>
                      <a:off x="0" y="0"/>
                      <a:ext cx="5271135" cy="280098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三维空间标准化表格效果图-右轴测视</w:t>
      </w:r>
      <w:bookmarkStart w:id="0" w:name="_GoBack"/>
      <w:bookmarkEnd w:id="0"/>
      <w:r>
        <w:rPr>
          <w:rFonts w:hint="eastAsia" w:ascii="楷体" w:hAnsi="楷体" w:eastAsia="楷体" w:cs="楷体"/>
          <w:kern w:val="2"/>
          <w:sz w:val="21"/>
          <w:szCs w:val="21"/>
          <w:lang w:val="en-US" w:eastAsia="zh-CN" w:bidi="ar-SA"/>
        </w:rPr>
        <w:t>图</w:t>
      </w:r>
    </w:p>
    <w:p>
      <w:pPr>
        <w:pStyle w:val="8"/>
        <w:keepNext w:val="0"/>
        <w:keepLines w:val="0"/>
        <w:pageBreakBefore w:val="0"/>
        <w:widowControl w:val="0"/>
        <w:kinsoku/>
        <w:wordWrap/>
        <w:overflowPunct/>
        <w:topLinePunct w:val="0"/>
        <w:autoSpaceDE/>
        <w:autoSpaceDN/>
        <w:bidi w:val="0"/>
        <w:adjustRightInd w:val="0"/>
        <w:snapToGrid w:val="0"/>
        <w:spacing w:line="288" w:lineRule="auto"/>
        <w:jc w:val="left"/>
        <w:textAlignment w:val="auto"/>
        <w:rPr>
          <w:rFonts w:hint="default" w:ascii="楷体" w:hAnsi="楷体" w:eastAsia="楷体" w:cs="楷体"/>
          <w:kern w:val="2"/>
          <w:sz w:val="21"/>
          <w:szCs w:val="21"/>
          <w:lang w:val="en-US" w:eastAsia="zh-CN" w:bidi="ar-SA"/>
        </w:rPr>
      </w:pPr>
      <w:r>
        <w:rPr>
          <w:rFonts w:hint="default" w:ascii="楷体" w:hAnsi="楷体" w:eastAsia="楷体" w:cs="楷体"/>
          <w:kern w:val="2"/>
          <w:sz w:val="21"/>
          <w:szCs w:val="21"/>
          <w:lang w:val="en-US" w:eastAsia="zh-CN" w:bidi="ar-SA"/>
        </w:rPr>
        <w:drawing>
          <wp:inline distT="0" distB="0" distL="114300" distR="114300">
            <wp:extent cx="5271135" cy="2800985"/>
            <wp:effectExtent l="0" t="0" r="5715" b="18415"/>
            <wp:docPr id="35" name="图片 35" descr="8a05fb7b60cb3aeb238450f6189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a05fb7b60cb3aeb238450f61894496"/>
                    <pic:cNvPicPr>
                      <a:picLocks noChangeAspect="1"/>
                    </pic:cNvPicPr>
                  </pic:nvPicPr>
                  <pic:blipFill>
                    <a:blip r:embed="rId46"/>
                    <a:stretch>
                      <a:fillRect/>
                    </a:stretch>
                  </pic:blipFill>
                  <pic:spPr>
                    <a:xfrm>
                      <a:off x="0" y="0"/>
                      <a:ext cx="5271135" cy="2800985"/>
                    </a:xfrm>
                    <a:prstGeom prst="rect">
                      <a:avLst/>
                    </a:prstGeom>
                  </pic:spPr>
                </pic:pic>
              </a:graphicData>
            </a:graphic>
          </wp:inline>
        </w:drawing>
      </w:r>
    </w:p>
    <w:p>
      <w:pPr>
        <w:pStyle w:val="8"/>
        <w:keepNext w:val="0"/>
        <w:keepLines w:val="0"/>
        <w:pageBreakBefore w:val="0"/>
        <w:widowControl w:val="0"/>
        <w:kinsoku/>
        <w:wordWrap/>
        <w:overflowPunct/>
        <w:topLinePunct w:val="0"/>
        <w:autoSpaceDE/>
        <w:autoSpaceDN/>
        <w:bidi w:val="0"/>
        <w:adjustRightInd w:val="0"/>
        <w:snapToGrid w:val="0"/>
        <w:spacing w:line="288" w:lineRule="auto"/>
        <w:jc w:val="center"/>
        <w:textAlignment w:val="auto"/>
        <w:rPr>
          <w:rFonts w:hint="default"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三维空间标准化表格效果图-表格</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CC5F75"/>
    <w:multiLevelType w:val="singleLevel"/>
    <w:tmpl w:val="D6CC5F75"/>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2ZTFlZmY5MWM4NDk2N2U4MzJmYmE2YjI2ODQzYjYifQ=="/>
  </w:docVars>
  <w:rsids>
    <w:rsidRoot w:val="49685614"/>
    <w:rsid w:val="0AA50469"/>
    <w:rsid w:val="112160A6"/>
    <w:rsid w:val="246F29D1"/>
    <w:rsid w:val="366D0D29"/>
    <w:rsid w:val="46DF34FA"/>
    <w:rsid w:val="49685614"/>
    <w:rsid w:val="4CC50E90"/>
    <w:rsid w:val="69831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3">
    <w:name w:val="footer"/>
    <w:basedOn w:val="1"/>
    <w:autoRedefine/>
    <w:unhideWhenUsed/>
    <w:qFormat/>
    <w:uiPriority w:val="99"/>
    <w:pPr>
      <w:tabs>
        <w:tab w:val="center" w:pos="4153"/>
        <w:tab w:val="right" w:pos="8306"/>
      </w:tabs>
      <w:snapToGrid w:val="0"/>
      <w:jc w:val="left"/>
    </w:pPr>
    <w:rPr>
      <w:sz w:val="18"/>
    </w:rPr>
  </w:style>
  <w:style w:type="paragraph" w:styleId="4">
    <w:name w:val="header"/>
    <w:basedOn w:val="1"/>
    <w:autoRedefine/>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7">
    <w:name w:val="page number"/>
    <w:basedOn w:val="6"/>
    <w:autoRedefine/>
    <w:semiHidden/>
    <w:unhideWhenUsed/>
    <w:qFormat/>
    <w:uiPriority w:val="99"/>
  </w:style>
  <w:style w:type="paragraph" w:customStyle="1" w:styleId="8">
    <w:name w:val="Normal_f3789b50-6b1a-4e26-b45a-1348fbb6fa09"/>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Heading 2_75896eb7-5b0e-4118-a94c-e9ad497202f7"/>
    <w:basedOn w:val="1"/>
    <w:next w:val="1"/>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chart" Target="charts/chart3.xml"/><Relationship Id="rId23" Type="http://schemas.openxmlformats.org/officeDocument/2006/relationships/chart" Target="charts/chart2.xml"/><Relationship Id="rId22" Type="http://schemas.openxmlformats.org/officeDocument/2006/relationships/chart" Target="charts/chart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dell\Documents\WeChat%20Files\wxid_qubb8y1l6k9k22\FileStorage\File\2024-03\&#35823;&#24046;&#35745;&#31639;.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dell\Documents\WeChat%20Files\wxid_qubb8y1l6k9k22\FileStorage\File\2024-03\&#35823;&#24046;&#35745;&#31639;.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dell\Documents\WeChat%20Files\wxid_qubb8y1l6k9k22\FileStorage\File\2024-03\&#35823;&#24046;&#35745;&#3163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1" i="0" u="none" strike="noStrike" kern="1200" baseline="0">
              <a:solidFill>
                <a:schemeClr val="tx1">
                  <a:lumMod val="75000"/>
                  <a:lumOff val="25000"/>
                </a:schemeClr>
              </a:solidFill>
              <a:latin typeface="+mn-lt"/>
              <a:ea typeface="+mn-ea"/>
              <a:cs typeface="+mn-cs"/>
            </a:defRPr>
          </a:pPr>
        </a:p>
      </c:txPr>
    </c:title>
    <c:autoTitleDeleted val="0"/>
    <c:plotArea>
      <c:layout/>
      <c:lineChart>
        <c:grouping val="standard"/>
        <c:varyColors val="0"/>
        <c:ser>
          <c:idx val="1"/>
          <c:order val="0"/>
          <c:tx>
            <c:strRef>
              <c:f>[误差计算.xlsx]Sheet1!$B$1</c:f>
              <c:strCache>
                <c:ptCount val="1"/>
                <c:pt idx="0">
                  <c:v>简化后直线数量</c:v>
                </c:pt>
              </c:strCache>
            </c:strRef>
          </c:tx>
          <c:spPr>
            <a:ln w="28575" cap="rnd">
              <a:solidFill>
                <a:schemeClr val="accent2"/>
              </a:solidFill>
              <a:round/>
            </a:ln>
            <a:effectLst/>
          </c:spPr>
          <c:marker>
            <c:symbol val="none"/>
          </c:marker>
          <c:dLbls>
            <c:delete val="1"/>
          </c:dLbls>
          <c:cat>
            <c:numRef>
              <c:f>[误差计算.xlsx]Sheet1!$A$2:$A$6</c:f>
              <c:numCache>
                <c:formatCode>General</c:formatCode>
                <c:ptCount val="5"/>
                <c:pt idx="0">
                  <c:v>0</c:v>
                </c:pt>
                <c:pt idx="1">
                  <c:v>10</c:v>
                </c:pt>
                <c:pt idx="2">
                  <c:v>20</c:v>
                </c:pt>
                <c:pt idx="3">
                  <c:v>30</c:v>
                </c:pt>
                <c:pt idx="4">
                  <c:v>40</c:v>
                </c:pt>
              </c:numCache>
            </c:numRef>
          </c:cat>
          <c:val>
            <c:numRef>
              <c:f>[误差计算.xlsx]Sheet1!$B$2:$B$6</c:f>
              <c:numCache>
                <c:formatCode>General</c:formatCode>
                <c:ptCount val="5"/>
                <c:pt idx="0">
                  <c:v>23</c:v>
                </c:pt>
                <c:pt idx="1">
                  <c:v>13</c:v>
                </c:pt>
                <c:pt idx="2">
                  <c:v>9</c:v>
                </c:pt>
                <c:pt idx="3">
                  <c:v>8</c:v>
                </c:pt>
                <c:pt idx="4">
                  <c:v>8</c:v>
                </c:pt>
              </c:numCache>
            </c:numRef>
          </c:val>
          <c:smooth val="0"/>
        </c:ser>
        <c:dLbls>
          <c:showLegendKey val="0"/>
          <c:showVal val="0"/>
          <c:showCatName val="0"/>
          <c:showSerName val="0"/>
          <c:showPercent val="0"/>
          <c:showBubbleSize val="0"/>
        </c:dLbls>
        <c:marker val="0"/>
        <c:smooth val="0"/>
        <c:axId val="602151098"/>
        <c:axId val="931839270"/>
      </c:lineChart>
      <c:catAx>
        <c:axId val="60215109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1839270"/>
        <c:crosses val="autoZero"/>
        <c:auto val="1"/>
        <c:lblAlgn val="ctr"/>
        <c:lblOffset val="100"/>
        <c:noMultiLvlLbl val="0"/>
      </c:catAx>
      <c:valAx>
        <c:axId val="931839270"/>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215109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开挖量误差</a:t>
            </a:r>
          </a:p>
        </c:rich>
      </c:tx>
      <c:layout/>
      <c:overlay val="0"/>
      <c:spPr>
        <a:noFill/>
        <a:ln>
          <a:noFill/>
        </a:ln>
        <a:effectLst/>
      </c:spPr>
    </c:title>
    <c:autoTitleDeleted val="0"/>
    <c:plotArea>
      <c:layout/>
      <c:lineChart>
        <c:grouping val="standard"/>
        <c:varyColors val="0"/>
        <c:ser>
          <c:idx val="1"/>
          <c:order val="0"/>
          <c:tx>
            <c:strRef>
              <c:f>[误差计算.xlsx]Sheet1!$E$1</c:f>
              <c:strCache>
                <c:ptCount val="1"/>
                <c:pt idx="0">
                  <c:v>误差</c:v>
                </c:pt>
              </c:strCache>
            </c:strRef>
          </c:tx>
          <c:spPr>
            <a:ln w="28575" cap="rnd">
              <a:solidFill>
                <a:schemeClr val="accent2"/>
              </a:solidFill>
              <a:round/>
            </a:ln>
            <a:effectLst/>
          </c:spPr>
          <c:marker>
            <c:symbol val="none"/>
          </c:marker>
          <c:dLbls>
            <c:delete val="1"/>
          </c:dLbls>
          <c:cat>
            <c:numRef>
              <c:f>[误差计算.xlsx]Sheet1!$A$2:$A$6</c:f>
              <c:numCache>
                <c:formatCode>General</c:formatCode>
                <c:ptCount val="5"/>
                <c:pt idx="0">
                  <c:v>0</c:v>
                </c:pt>
                <c:pt idx="1">
                  <c:v>10</c:v>
                </c:pt>
                <c:pt idx="2">
                  <c:v>20</c:v>
                </c:pt>
                <c:pt idx="3">
                  <c:v>30</c:v>
                </c:pt>
                <c:pt idx="4">
                  <c:v>40</c:v>
                </c:pt>
              </c:numCache>
            </c:numRef>
          </c:cat>
          <c:val>
            <c:numRef>
              <c:f>[误差计算.xlsx]Sheet1!$E$2:$E$6</c:f>
              <c:numCache>
                <c:formatCode>General</c:formatCode>
                <c:ptCount val="5"/>
                <c:pt idx="0">
                  <c:v>0</c:v>
                </c:pt>
                <c:pt idx="1">
                  <c:v>67.716</c:v>
                </c:pt>
                <c:pt idx="2">
                  <c:v>159.039</c:v>
                </c:pt>
                <c:pt idx="3">
                  <c:v>94.5341</c:v>
                </c:pt>
                <c:pt idx="4">
                  <c:v>94.7547</c:v>
                </c:pt>
              </c:numCache>
            </c:numRef>
          </c:val>
          <c:smooth val="0"/>
        </c:ser>
        <c:dLbls>
          <c:showLegendKey val="0"/>
          <c:showVal val="0"/>
          <c:showCatName val="0"/>
          <c:showSerName val="0"/>
          <c:showPercent val="0"/>
          <c:showBubbleSize val="0"/>
        </c:dLbls>
        <c:marker val="0"/>
        <c:smooth val="0"/>
        <c:axId val="401720564"/>
        <c:axId val="962058594"/>
      </c:lineChart>
      <c:catAx>
        <c:axId val="4017205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62058594"/>
        <c:crosses val="autoZero"/>
        <c:auto val="1"/>
        <c:lblAlgn val="ctr"/>
        <c:lblOffset val="100"/>
        <c:noMultiLvlLbl val="0"/>
      </c:catAx>
      <c:valAx>
        <c:axId val="962058594"/>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172056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综合性能分析</a:t>
            </a:r>
          </a:p>
        </c:rich>
      </c:tx>
      <c:layout/>
      <c:overlay val="0"/>
      <c:spPr>
        <a:noFill/>
        <a:ln>
          <a:noFill/>
        </a:ln>
        <a:effectLst/>
      </c:spPr>
    </c:title>
    <c:autoTitleDeleted val="0"/>
    <c:plotArea>
      <c:layout/>
      <c:lineChart>
        <c:grouping val="standard"/>
        <c:varyColors val="0"/>
        <c:ser>
          <c:idx val="1"/>
          <c:order val="0"/>
          <c:tx>
            <c:strRef>
              <c:f>[误差计算.xlsx]Sheet1!$C$1</c:f>
              <c:strCache>
                <c:ptCount val="1"/>
                <c:pt idx="0">
                  <c:v>简化效率</c:v>
                </c:pt>
              </c:strCache>
            </c:strRef>
          </c:tx>
          <c:spPr>
            <a:ln w="28575" cap="rnd">
              <a:solidFill>
                <a:schemeClr val="accent2"/>
              </a:solidFill>
              <a:round/>
            </a:ln>
            <a:effectLst/>
          </c:spPr>
          <c:marker>
            <c:symbol val="none"/>
          </c:marker>
          <c:dLbls>
            <c:delete val="1"/>
          </c:dLbls>
          <c:cat>
            <c:numRef>
              <c:f>[误差计算.xlsx]Sheet1!$A$2:$A$6</c:f>
              <c:numCache>
                <c:formatCode>General</c:formatCode>
                <c:ptCount val="5"/>
                <c:pt idx="0">
                  <c:v>0</c:v>
                </c:pt>
                <c:pt idx="1">
                  <c:v>10</c:v>
                </c:pt>
                <c:pt idx="2">
                  <c:v>20</c:v>
                </c:pt>
                <c:pt idx="3">
                  <c:v>30</c:v>
                </c:pt>
                <c:pt idx="4">
                  <c:v>40</c:v>
                </c:pt>
              </c:numCache>
            </c:numRef>
          </c:cat>
          <c:val>
            <c:numRef>
              <c:f>[误差计算.xlsx]Sheet1!$C$2:$C$6</c:f>
              <c:numCache>
                <c:formatCode>General</c:formatCode>
                <c:ptCount val="5"/>
                <c:pt idx="0">
                  <c:v>0</c:v>
                </c:pt>
                <c:pt idx="1">
                  <c:v>0.434782608695652</c:v>
                </c:pt>
                <c:pt idx="2">
                  <c:v>0.608695652173913</c:v>
                </c:pt>
                <c:pt idx="3">
                  <c:v>0.652173913043478</c:v>
                </c:pt>
                <c:pt idx="4">
                  <c:v>0.652173913043478</c:v>
                </c:pt>
              </c:numCache>
            </c:numRef>
          </c:val>
          <c:smooth val="0"/>
        </c:ser>
        <c:ser>
          <c:idx val="2"/>
          <c:order val="1"/>
          <c:tx>
            <c:strRef>
              <c:f>[误差计算.xlsx]Sheet1!$G$1</c:f>
              <c:strCache>
                <c:ptCount val="1"/>
                <c:pt idx="0">
                  <c:v>误差率（%）</c:v>
                </c:pt>
              </c:strCache>
            </c:strRef>
          </c:tx>
          <c:spPr>
            <a:ln w="28575" cap="rnd">
              <a:solidFill>
                <a:schemeClr val="accent3"/>
              </a:solidFill>
              <a:round/>
            </a:ln>
            <a:effectLst/>
          </c:spPr>
          <c:marker>
            <c:symbol val="none"/>
          </c:marker>
          <c:dLbls>
            <c:delete val="1"/>
          </c:dLbls>
          <c:cat>
            <c:numRef>
              <c:f>[误差计算.xlsx]Sheet1!$A$2:$A$6</c:f>
              <c:numCache>
                <c:formatCode>General</c:formatCode>
                <c:ptCount val="5"/>
                <c:pt idx="0">
                  <c:v>0</c:v>
                </c:pt>
                <c:pt idx="1">
                  <c:v>10</c:v>
                </c:pt>
                <c:pt idx="2">
                  <c:v>20</c:v>
                </c:pt>
                <c:pt idx="3">
                  <c:v>30</c:v>
                </c:pt>
                <c:pt idx="4">
                  <c:v>40</c:v>
                </c:pt>
              </c:numCache>
            </c:numRef>
          </c:cat>
          <c:val>
            <c:numRef>
              <c:f>[误差计算.xlsx]Sheet1!$G$2:$G$6</c:f>
              <c:numCache>
                <c:formatCode>General</c:formatCode>
                <c:ptCount val="5"/>
                <c:pt idx="0">
                  <c:v>0</c:v>
                </c:pt>
                <c:pt idx="1">
                  <c:v>0.201962298933306</c:v>
                </c:pt>
                <c:pt idx="2">
                  <c:v>0.474332241420846</c:v>
                </c:pt>
                <c:pt idx="3">
                  <c:v>0.281947016415485</c:v>
                </c:pt>
                <c:pt idx="4">
                  <c:v>0.282604953729336</c:v>
                </c:pt>
              </c:numCache>
            </c:numRef>
          </c:val>
          <c:smooth val="0"/>
        </c:ser>
        <c:dLbls>
          <c:showLegendKey val="0"/>
          <c:showVal val="0"/>
          <c:showCatName val="0"/>
          <c:showSerName val="0"/>
          <c:showPercent val="0"/>
          <c:showBubbleSize val="0"/>
        </c:dLbls>
        <c:marker val="0"/>
        <c:smooth val="0"/>
        <c:axId val="66173416"/>
        <c:axId val="462183888"/>
      </c:lineChart>
      <c:catAx>
        <c:axId val="661734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62183888"/>
        <c:crosses val="autoZero"/>
        <c:auto val="1"/>
        <c:lblAlgn val="ctr"/>
        <c:lblOffset val="100"/>
        <c:noMultiLvlLbl val="0"/>
      </c:catAx>
      <c:valAx>
        <c:axId val="462183888"/>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17341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3664</Words>
  <Characters>4015</Characters>
  <Lines>0</Lines>
  <Paragraphs>0</Paragraphs>
  <TotalTime>1</TotalTime>
  <ScaleCrop>false</ScaleCrop>
  <LinksUpToDate>false</LinksUpToDate>
  <CharactersWithSpaces>4129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2024-03-20T06:57:00Z</dcterms:created>
  <dc:creator>命</dc:creator>
  <cp:lastModifiedBy>凯</cp:lastModifiedBy>
  <dcterms:modified xsi:type="dcterms:W3CDTF">2024-07-05T04:30:31Z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806D0F2D50924D569B1B70ED4A4BB175_11</vt:lpwstr>
  </property>
</Properties>
</file>