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29"/>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pStyle w:val="61"/>
              <w:bidi w:val="0"/>
              <w:rPr>
                <w:rFonts w:hint="default"/>
                <w:b/>
                <w:bCs/>
              </w:rPr>
            </w:pPr>
            <w:r>
              <w:rPr>
                <w:rFonts w:hint="default"/>
                <w:b/>
                <w:bCs/>
              </w:rPr>
              <w:t>1.桥面系检查结果</w:t>
            </w:r>
          </w:p>
          <w:p>
            <w:pPr>
              <w:pStyle w:val="61"/>
              <w:bidi w:val="0"/>
              <w:rPr>
                <w:rFonts w:hint="default"/>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pStyle w:val="61"/>
              <w:bidi w:val="0"/>
              <w:rPr>
                <w:rFonts w:hint="default"/>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p>
          <w:p>
            <w:pPr>
              <w:pStyle w:val="61"/>
              <w:bidi w:val="0"/>
              <w:rPr>
                <w:rFonts w:hint="default"/>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pStyle w:val="61"/>
              <w:bidi w:val="0"/>
              <w:rPr>
                <w:rFonts w:hint="default" w:ascii="Times New Roman" w:hAnsi="Times New Roman" w:cs="Times New Roman"/>
              </w:rPr>
            </w:pPr>
            <w:r>
              <w:rPr>
                <w:rFonts w:hint="default"/>
              </w:rPr>
              <w:t>本次静载试验荷载效率</w:t>
            </w:r>
            <w:r>
              <w:rPr>
                <w:rFonts w:hint="default"/>
                <w:lang w:eastAsia="zh-CN"/>
              </w:rPr>
              <w:t>在</w:t>
            </w:r>
            <w:r>
              <w:rPr>
                <w:rFonts w:hint="default"/>
              </w:rPr>
              <w:t>0.</w:t>
            </w:r>
            <w:r>
              <w:rPr>
                <w:rFonts w:hint="default"/>
                <w:lang w:val="en-US" w:eastAsia="zh-CN"/>
              </w:rPr>
              <w:t>94</w:t>
            </w:r>
            <w:r>
              <w:rPr>
                <w:rFonts w:hint="default"/>
              </w:rPr>
              <w:t>～</w:t>
            </w:r>
            <w:r>
              <w:rPr>
                <w:rFonts w:hint="default"/>
                <w:lang w:val="en-US" w:eastAsia="zh-CN"/>
              </w:rPr>
              <w:t>1.05之间</w:t>
            </w:r>
            <w:r>
              <w:rPr>
                <w:rFonts w:hint="default"/>
              </w:rPr>
              <w:t>，满足《城市桥梁检测与评定技术规范》（CJJ/T 233-2015）中对验收性试验所规定的0.85≤ηs≤1.05的要求。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pStyle w:val="61"/>
              <w:bidi w:val="0"/>
              <w:rPr>
                <w:rFonts w:hint="default"/>
              </w:rPr>
            </w:pPr>
            <w:r>
              <w:rPr>
                <w:rFonts w:hint="default"/>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25"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default"/>
                <w:vertAlign w:val="subscript"/>
              </w:rPr>
              <w:t>挠度</w:t>
            </w:r>
            <w:r>
              <w:rPr>
                <w:rFonts w:hint="default"/>
              </w:rPr>
              <w:t>。</w:t>
            </w:r>
          </w:p>
          <w:p>
            <w:pPr>
              <w:pStyle w:val="61"/>
              <w:bidi w:val="0"/>
              <w:rPr>
                <w:rFonts w:hint="default"/>
              </w:rPr>
            </w:pPr>
            <w:r>
              <w:rPr>
                <w:rFonts w:hint="default"/>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9264"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9264;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6Qq5tgAAAAJAQAA&#10;DwAAAAAAAAABACAAAAAiAAAAZHJzL2Rvd25yZXYueG1sUEsBAhQAFAAAAAgAh07iQIJ+vDvgAQAA&#10;pgMAAA4AAAAAAAAAAQAgAAAAJwEAAGRycy9lMm9Eb2MueG1sUEsFBgAAAAAGAAYAWQEAAHkFAAAA&#10;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pStyle w:val="61"/>
              <w:bidi w:val="0"/>
              <w:rPr>
                <w:rFonts w:hint="default"/>
              </w:rPr>
            </w:pPr>
            <w:r>
              <w:rPr>
                <w:rFonts w:hint="default"/>
              </w:rPr>
              <w:t>(1)在工况一荷载作用下，主梁最大实测弹性挠度值为</w:t>
            </w:r>
            <w:r>
              <w:rPr>
                <w:rFonts w:hint="default"/>
                <w:lang w:val="en-US" w:eastAsia="zh-CN"/>
              </w:rPr>
              <w:t>14.83</w:t>
            </w:r>
            <w:r>
              <w:rPr>
                <w:rFonts w:hint="default"/>
              </w:rPr>
              <w:t>mm，实测控制截面的挠度值均小于理论值，校验系数在0.</w:t>
            </w:r>
            <w:r>
              <w:rPr>
                <w:rFonts w:hint="default"/>
                <w:lang w:val="en-US" w:eastAsia="zh-CN"/>
              </w:rPr>
              <w:t>58</w:t>
            </w:r>
            <w:r>
              <w:rPr>
                <w:rFonts w:hint="default"/>
              </w:rPr>
              <w:t>～0.</w:t>
            </w:r>
            <w:r>
              <w:rPr>
                <w:rFonts w:hint="default"/>
                <w:lang w:val="en-US" w:eastAsia="zh-CN"/>
              </w:rPr>
              <w:t>64</w:t>
            </w:r>
            <w:r>
              <w:rPr>
                <w:rFonts w:hint="default"/>
              </w:rPr>
              <w:t>之间；相对残余变形</w:t>
            </w:r>
            <w:r>
              <w:rPr>
                <w:rFonts w:hint="default"/>
                <w:lang w:eastAsia="zh-CN"/>
              </w:rPr>
              <w:t>在</w:t>
            </w:r>
            <w:r>
              <w:rPr>
                <w:rFonts w:hint="default"/>
                <w:lang w:val="en-US" w:eastAsia="zh-CN"/>
              </w:rPr>
              <w:t>5.82%</w:t>
            </w:r>
            <w:r>
              <w:rPr>
                <w:rFonts w:hint="default"/>
              </w:rPr>
              <w:t>～</w:t>
            </w:r>
            <w:r>
              <w:rPr>
                <w:rFonts w:hint="default"/>
                <w:lang w:val="en-US" w:eastAsia="zh-CN"/>
              </w:rPr>
              <w:t>6.90%之间</w:t>
            </w:r>
            <w:r>
              <w:rPr>
                <w:rFonts w:hint="default"/>
              </w:rPr>
              <w:t>。</w:t>
            </w:r>
          </w:p>
          <w:p>
            <w:pPr>
              <w:pStyle w:val="61"/>
              <w:bidi w:val="0"/>
              <w:rPr>
                <w:rFonts w:hint="default" w:ascii="Times New Roman" w:hAnsi="Times New Roman" w:cs="Times New Roman"/>
                <w:bCs/>
              </w:rPr>
            </w:pPr>
            <w:r>
              <w:rPr>
                <w:rFonts w:hint="default"/>
              </w:rPr>
              <w:t>(2)在工况二荷载作用下，主梁最大实测弹性挠度值为2.</w:t>
            </w:r>
            <w:r>
              <w:rPr>
                <w:rFonts w:hint="default"/>
                <w:lang w:val="en-US" w:eastAsia="zh-CN"/>
              </w:rPr>
              <w:t>81</w:t>
            </w:r>
            <w:r>
              <w:rPr>
                <w:rFonts w:hint="default"/>
              </w:rPr>
              <w:t>mm，实测控制截面的挠度值均小于理论值，校验系数在0.</w:t>
            </w:r>
            <w:r>
              <w:rPr>
                <w:rFonts w:hint="default"/>
                <w:lang w:val="en-US" w:eastAsia="zh-CN"/>
              </w:rPr>
              <w:t>66</w:t>
            </w:r>
            <w:r>
              <w:rPr>
                <w:rFonts w:hint="default"/>
              </w:rPr>
              <w:t>～0.</w:t>
            </w:r>
            <w:r>
              <w:rPr>
                <w:rFonts w:hint="default"/>
                <w:lang w:val="en-US" w:eastAsia="zh-CN"/>
              </w:rPr>
              <w:t>70</w:t>
            </w:r>
            <w:r>
              <w:rPr>
                <w:rFonts w:hint="default"/>
              </w:rPr>
              <w:t>之间；相对残余变形在</w:t>
            </w:r>
            <w:r>
              <w:rPr>
                <w:rFonts w:hint="default"/>
                <w:lang w:val="en-US" w:eastAsia="zh-CN"/>
              </w:rPr>
              <w:t>2.21</w:t>
            </w:r>
            <w:r>
              <w:rPr>
                <w:rFonts w:hint="default"/>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pStyle w:val="61"/>
              <w:bidi w:val="0"/>
              <w:rPr>
                <w:rFonts w:hint="default"/>
              </w:rPr>
            </w:pPr>
            <w:r>
              <w:rPr>
                <w:rFonts w:hint="default"/>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pStyle w:val="61"/>
              <w:bidi w:val="0"/>
              <w:rPr>
                <w:rFonts w:hint="default"/>
              </w:rPr>
            </w:pPr>
            <w:r>
              <w:rPr>
                <w:rFonts w:hint="default"/>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pStyle w:val="61"/>
              <w:bidi w:val="0"/>
              <w:rPr>
                <w:rFonts w:hint="default"/>
              </w:rPr>
            </w:pPr>
            <w:r>
              <w:rPr>
                <w:rFonts w:hint="default"/>
              </w:rPr>
              <w:t>检测结果表明：桥梁的竖向一阶自振频率为</w:t>
            </w:r>
            <w:r>
              <w:rPr>
                <w:rFonts w:hint="default"/>
                <w:lang w:val="en-US" w:eastAsia="zh-CN"/>
              </w:rPr>
              <w:t>2.59</w:t>
            </w:r>
            <w:r>
              <w:rPr>
                <w:rFonts w:hint="default"/>
              </w:rPr>
              <w:t>z，大于有限元分析得到的竖向一阶自振频率(</w:t>
            </w:r>
            <w:r>
              <w:rPr>
                <w:rFonts w:hint="default"/>
                <w:lang w:val="en-US" w:eastAsia="zh-CN"/>
              </w:rPr>
              <w:t>2.42</w:t>
            </w:r>
            <w:r>
              <w:rPr>
                <w:rFonts w:hint="default"/>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29"/>
        <w:tblW w:w="9185" w:type="dxa"/>
        <w:jc w:val="center"/>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pStyle w:val="61"/>
              <w:bidi w:val="0"/>
              <w:rPr>
                <w:rFonts w:hint="default" w:ascii="Times New Roman" w:hAnsi="Times New Roman" w:eastAsia="黑体" w:cs="Times New Roman"/>
              </w:rPr>
            </w:pPr>
            <w:r>
              <w:rPr>
                <w:rFonts w:hint="default"/>
              </w:rPr>
              <w:t>综合静动载试验结果表明，莆田市绶溪公园一期状元桥上部结构性能满足设计荷载（人群荷载按CJJ69-1995《城市人行天桥与人行地道技术规范》计算）作用下的安全使用要求。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pStyle w:val="61"/>
              <w:bidi w:val="0"/>
              <w:rPr>
                <w:rFonts w:hint="default"/>
              </w:rPr>
            </w:pPr>
            <w:r>
              <w:rPr>
                <w:rFonts w:hint="eastAsia"/>
                <w:lang w:val="en-US" w:eastAsia="zh-CN"/>
              </w:rPr>
              <w:t>1.</w:t>
            </w:r>
            <w:r>
              <w:rPr>
                <w:rFonts w:hint="default"/>
              </w:rPr>
              <w:t>建议对莆田市绶溪公园一期状元桥目前存在的问题采取处理措施，主要包括：</w:t>
            </w:r>
          </w:p>
          <w:p>
            <w:pPr>
              <w:pStyle w:val="61"/>
              <w:bidi w:val="0"/>
              <w:rPr>
                <w:rFonts w:hint="eastAsia"/>
                <w:lang w:val="en-US" w:eastAsia="zh-CN"/>
              </w:rPr>
            </w:pPr>
            <w:r>
              <w:rPr>
                <w:rFonts w:hint="eastAsia"/>
                <w:lang w:val="en-US" w:eastAsia="zh-CN"/>
              </w:rPr>
              <w:t>(1)按照设计要求安装桥面排水系统；</w:t>
            </w:r>
          </w:p>
          <w:p>
            <w:pPr>
              <w:pStyle w:val="61"/>
              <w:bidi w:val="0"/>
              <w:rPr>
                <w:rFonts w:hint="eastAsia"/>
                <w:lang w:val="en-US" w:eastAsia="zh-CN"/>
              </w:rPr>
            </w:pPr>
            <w:r>
              <w:rPr>
                <w:rFonts w:hint="eastAsia"/>
                <w:lang w:val="en-US" w:eastAsia="zh-CN"/>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61"/>
              <w:bidi w:val="0"/>
              <w:rPr>
                <w:rFonts w:hint="default"/>
              </w:rPr>
            </w:pPr>
            <w:r>
              <w:rPr>
                <w:rFonts w:hint="eastAsia"/>
                <w:lang w:val="en-US" w:eastAsia="zh-CN"/>
              </w:rPr>
              <w:t>(3)</w:t>
            </w:r>
            <w:r>
              <w:rPr>
                <w:rFonts w:hint="eastAsia"/>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lang w:eastAsia="zh-CN"/>
              </w:rPr>
              <w:t>；</w:t>
            </w:r>
          </w:p>
          <w:p>
            <w:pPr>
              <w:pStyle w:val="61"/>
              <w:bidi w:val="0"/>
              <w:rPr>
                <w:rFonts w:hint="eastAsia"/>
                <w:lang w:eastAsia="zh-CN"/>
              </w:rPr>
            </w:pPr>
            <w:r>
              <w:rPr>
                <w:rFonts w:hint="eastAsia"/>
                <w:lang w:val="en-US" w:eastAsia="zh-CN"/>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pStyle w:val="61"/>
              <w:bidi w:val="0"/>
              <w:rPr>
                <w:rFonts w:hint="eastAsia"/>
                <w:lang w:eastAsia="zh-CN"/>
              </w:rPr>
            </w:pPr>
            <w:r>
              <w:rPr>
                <w:rFonts w:hint="eastAsia"/>
                <w:lang w:val="en-US" w:eastAsia="zh-CN"/>
              </w:rPr>
              <w:t>(5)</w:t>
            </w:r>
            <w:r>
              <w:rPr>
                <w:rFonts w:hint="default"/>
              </w:rPr>
              <w:t>对本次桥梁检测过程中发现的</w:t>
            </w:r>
            <w:r>
              <w:rPr>
                <w:rFonts w:hint="eastAsia"/>
                <w:lang w:eastAsia="zh-CN"/>
              </w:rPr>
              <w:t>钢箱梁</w:t>
            </w:r>
            <w:r>
              <w:rPr>
                <w:rFonts w:hint="default"/>
              </w:rPr>
              <w:t>锈蚀部位进行除锈刷漆处理；对桥梁结构</w:t>
            </w:r>
            <w:r>
              <w:rPr>
                <w:rFonts w:hint="eastAsia"/>
                <w:lang w:eastAsia="zh-CN"/>
              </w:rPr>
              <w:t>钢箱梁</w:t>
            </w:r>
            <w:r>
              <w:rPr>
                <w:rFonts w:hint="default"/>
              </w:rPr>
              <w:t>、</w:t>
            </w:r>
            <w:r>
              <w:rPr>
                <w:rFonts w:hint="eastAsia"/>
                <w:lang w:eastAsia="zh-CN"/>
              </w:rPr>
              <w:t>支座</w:t>
            </w:r>
            <w:r>
              <w:rPr>
                <w:rFonts w:hint="default"/>
              </w:rPr>
              <w:t>等存在焊接质量问题的部位进行处理</w:t>
            </w:r>
            <w:r>
              <w:rPr>
                <w:rFonts w:hint="eastAsia"/>
                <w:lang w:eastAsia="zh-CN"/>
              </w:rPr>
              <w:t>；对主梁抗震挡块、支座等存在漏焊的部位进行补焊，对桥梁钢箱梁、栏杆存在涂层剥落部位进行刷漆处理；</w:t>
            </w:r>
          </w:p>
          <w:p>
            <w:pPr>
              <w:pStyle w:val="61"/>
              <w:bidi w:val="0"/>
              <w:rPr>
                <w:rFonts w:hint="eastAsia"/>
                <w:lang w:val="en-US" w:eastAsia="zh-CN"/>
              </w:rPr>
            </w:pPr>
            <w:r>
              <w:rPr>
                <w:rFonts w:hint="eastAsia"/>
                <w:lang w:val="en-US" w:eastAsia="zh-CN"/>
              </w:rPr>
              <w:t>(6)对各个墩台处限位装置未紧固的螺栓进行紧固处理；</w:t>
            </w:r>
          </w:p>
          <w:p>
            <w:pPr>
              <w:pStyle w:val="61"/>
              <w:bidi w:val="0"/>
              <w:rPr>
                <w:rFonts w:hint="eastAsia"/>
                <w:lang w:val="en-US" w:eastAsia="zh-CN"/>
              </w:rPr>
            </w:pPr>
            <w:r>
              <w:rPr>
                <w:rFonts w:hint="eastAsia"/>
                <w:lang w:val="en-US" w:eastAsia="zh-CN"/>
              </w:rPr>
              <w:t>(7)对本报告提及的桥梁存在的其他问题进行处理。</w:t>
            </w:r>
          </w:p>
          <w:p>
            <w:pPr>
              <w:pStyle w:val="61"/>
              <w:bidi w:val="0"/>
              <w:rPr>
                <w:rFonts w:hint="default"/>
                <w:lang w:val="en-US" w:eastAsia="zh-CN"/>
              </w:rPr>
            </w:pPr>
            <w:r>
              <w:rPr>
                <w:rFonts w:hint="eastAsia"/>
                <w:lang w:val="en-US" w:eastAsia="zh-CN"/>
              </w:rPr>
              <w:t>2、本桥梁结构竖向一阶自振频率低于3.0Hz，运营期间应加强行人舒适度观察，</w:t>
            </w:r>
            <w:r>
              <w:rPr>
                <w:rFonts w:hint="default"/>
                <w:lang w:val="en-US" w:eastAsia="zh-CN"/>
              </w:rPr>
              <w:t>严禁行人在桥面</w:t>
            </w:r>
            <w:r>
              <w:rPr>
                <w:rFonts w:hint="eastAsia"/>
                <w:lang w:val="en-US" w:eastAsia="zh-CN"/>
              </w:rPr>
              <w:t>违规</w:t>
            </w:r>
            <w:r>
              <w:rPr>
                <w:rFonts w:hint="default"/>
                <w:lang w:val="en-US" w:eastAsia="zh-CN"/>
              </w:rPr>
              <w:t>密集通行、聚集</w:t>
            </w:r>
            <w:r>
              <w:rPr>
                <w:rFonts w:hint="eastAsia"/>
                <w:lang w:val="en-US" w:eastAsia="zh-CN"/>
              </w:rPr>
              <w:t>、逗留</w:t>
            </w:r>
            <w:r>
              <w:rPr>
                <w:rFonts w:hint="default"/>
                <w:lang w:val="en-US" w:eastAsia="zh-CN"/>
              </w:rPr>
              <w:t>、弹跳、摇晃、齐步行走等</w:t>
            </w:r>
            <w:r>
              <w:rPr>
                <w:rFonts w:hint="eastAsia"/>
                <w:lang w:val="en-US" w:eastAsia="zh-CN"/>
              </w:rPr>
              <w:t>，避免桥梁不舒适的异常振动。</w:t>
            </w:r>
          </w:p>
          <w:p>
            <w:pPr>
              <w:pStyle w:val="61"/>
              <w:bidi w:val="0"/>
              <w:rPr>
                <w:rFonts w:hint="default"/>
              </w:rPr>
            </w:pPr>
            <w:r>
              <w:rPr>
                <w:rFonts w:hint="eastAsia"/>
                <w:lang w:val="en-US" w:eastAsia="zh-CN"/>
              </w:rPr>
              <w:t>3、</w:t>
            </w:r>
            <w:r>
              <w:rPr>
                <w:rFonts w:hint="default"/>
                <w:lang w:val="en-US" w:eastAsia="zh-CN"/>
              </w:rPr>
              <w:t>管养单位</w:t>
            </w:r>
            <w:r>
              <w:rPr>
                <w:rFonts w:hint="eastAsia"/>
                <w:lang w:val="en-US" w:eastAsia="zh-CN"/>
              </w:rPr>
              <w:t>应严禁超载使用</w:t>
            </w:r>
            <w:r>
              <w:rPr>
                <w:rFonts w:hint="default"/>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pStyle w:val="61"/>
              <w:bidi w:val="0"/>
              <w:rPr>
                <w:rFonts w:hint="default"/>
              </w:rPr>
            </w:pPr>
            <w:r>
              <w:rPr>
                <w:rFonts w:hint="default"/>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29"/>
        <w:tblW w:w="9660" w:type="dxa"/>
        <w:jc w:val="center"/>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pStyle w:val="40"/>
        <w:numPr>
          <w:ilvl w:val="0"/>
          <w:numId w:val="0"/>
        </w:numPr>
        <w:tabs>
          <w:tab w:val="clear" w:pos="3462"/>
        </w:tabs>
        <w:spacing w:line="360" w:lineRule="auto"/>
        <w:ind w:left="4323" w:hanging="4323" w:hangingChars="1441"/>
        <w:jc w:val="center"/>
        <w:rPr>
          <w:rFonts w:hint="default" w:ascii="Times New Roman" w:hAnsi="Times New Roman" w:eastAsia="楷体_GB2312" w:cs="Times New Roman"/>
          <w:b/>
          <w:bCs/>
          <w:kern w:val="0"/>
          <w:sz w:val="24"/>
          <w:szCs w:val="24"/>
          <w:lang w:val="en-US" w:eastAsia="zh-CN" w:bidi="ar-SA"/>
        </w:rPr>
      </w:pPr>
      <w:bookmarkStart w:id="17" w:name="_Toc3574"/>
      <w:bookmarkStart w:id="18" w:name="_Toc358"/>
      <w:bookmarkStart w:id="19" w:name="_Toc25759"/>
      <w:bookmarkStart w:id="20" w:name="_Toc7166"/>
      <w:bookmarkStart w:id="21" w:name="_Toc256000000"/>
      <w:r>
        <w:rPr>
          <w:rFonts w:hint="default" w:ascii="Times New Roman" w:hAnsi="Times New Roman" w:cs="Times New Roman"/>
          <w:bCs w:val="0"/>
          <w:sz w:val="30"/>
          <w:szCs w:val="30"/>
        </w:rPr>
        <w:t>目  录</w:t>
      </w:r>
      <w:bookmarkEnd w:id="17"/>
      <w:bookmarkEnd w:id="18"/>
      <w:bookmarkEnd w:id="19"/>
      <w:bookmarkEnd w:id="20"/>
      <w:bookmarkEnd w:id="21"/>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_Toc25759 </w:instrText>
      </w:r>
      <w:r>
        <w:rPr>
          <w:rFonts w:hint="default" w:ascii="Times New Roman" w:hAnsi="Times New Roman" w:cs="Times New Roman"/>
        </w:rPr>
        <w:fldChar w:fldCharType="separate"/>
      </w:r>
      <w:r>
        <w:rPr>
          <w:rFonts w:hint="default" w:ascii="Times New Roman" w:hAnsi="Times New Roman" w:cs="Times New Roman"/>
          <w:bCs w:val="0"/>
          <w:szCs w:val="30"/>
        </w:rPr>
        <w:t>目  录</w:t>
      </w:r>
      <w:r>
        <w:tab/>
      </w:r>
      <w:r>
        <w:fldChar w:fldCharType="begin"/>
      </w:r>
      <w:r>
        <w:instrText xml:space="preserve"> PAGEREF _Toc25759 </w:instrText>
      </w:r>
      <w:r>
        <w:fldChar w:fldCharType="separate"/>
      </w:r>
      <w:r>
        <w:t>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_Toc31939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_Toc31939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_Toc24399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_Toc24399 </w:instrText>
      </w:r>
      <w:r>
        <w:fldChar w:fldCharType="separate"/>
      </w:r>
      <w:r>
        <w:t>6</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_Toc1838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_Toc28598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_Toc28598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_Toc27043 </w:instrText>
      </w:r>
      <w:r>
        <w:fldChar w:fldCharType="separate"/>
      </w:r>
      <w:r>
        <w:t>8</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_Toc9603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_Toc9603 </w:instrText>
      </w:r>
      <w:r>
        <w:fldChar w:fldCharType="separate"/>
      </w:r>
      <w:r>
        <w:t>9</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_Toc26720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桥梁外观检查</w:t>
      </w:r>
      <w:r>
        <w:tab/>
      </w:r>
      <w:r>
        <w:fldChar w:fldCharType="begin"/>
      </w:r>
      <w:r>
        <w:instrText xml:space="preserve"> PAGEREF _Toc26720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_Toc8704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面系检查结果</w:t>
      </w:r>
      <w:r>
        <w:tab/>
      </w:r>
      <w:r>
        <w:fldChar w:fldCharType="begin"/>
      </w:r>
      <w:r>
        <w:instrText xml:space="preserve"> PAGEREF _Toc8704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上部结构检查结果</w:t>
      </w:r>
      <w:r>
        <w:tab/>
      </w:r>
      <w:r>
        <w:fldChar w:fldCharType="begin"/>
      </w:r>
      <w:r>
        <w:instrText xml:space="preserve"> PAGEREF _Toc32105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_Toc25981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下部结构检查结果</w:t>
      </w:r>
      <w:r>
        <w:tab/>
      </w:r>
      <w:r>
        <w:fldChar w:fldCharType="begin"/>
      </w:r>
      <w:r>
        <w:instrText xml:space="preserve"> PAGEREF _Toc25981 </w:instrText>
      </w:r>
      <w:r>
        <w:fldChar w:fldCharType="separate"/>
      </w:r>
      <w:r>
        <w:t>10</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_Toc17606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_Toc17606 </w:instrText>
      </w:r>
      <w:r>
        <w:fldChar w:fldCharType="separate"/>
      </w:r>
      <w:r>
        <w:t>11</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_Toc3344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_Toc15282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_Toc11134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_Toc11134 </w:instrText>
      </w:r>
      <w:r>
        <w:fldChar w:fldCharType="separate"/>
      </w:r>
      <w:r>
        <w:t>11</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_Toc29297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_Toc29297 </w:instrText>
      </w:r>
      <w:r>
        <w:fldChar w:fldCharType="separate"/>
      </w:r>
      <w:r>
        <w:t>12</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_Toc32328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_Toc32328 </w:instrText>
      </w:r>
      <w:r>
        <w:fldChar w:fldCharType="separate"/>
      </w:r>
      <w:r>
        <w:t>14</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_Toc3489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_Toc3489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_Toc2090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_Toc2090 </w:instrText>
      </w:r>
      <w:r>
        <w:fldChar w:fldCharType="separate"/>
      </w:r>
      <w:r>
        <w:t>14</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_Toc6977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_Toc6977 </w:instrText>
      </w:r>
      <w:r>
        <w:fldChar w:fldCharType="separate"/>
      </w:r>
      <w:r>
        <w:t>15</w:t>
      </w:r>
      <w:r>
        <w:fldChar w:fldCharType="end"/>
      </w:r>
      <w:r>
        <w:rPr>
          <w:rFonts w:hint="default" w:ascii="Times New Roman" w:hAnsi="Times New Roman" w:cs="Times New Roman"/>
        </w:rPr>
        <w:fldChar w:fldCharType="end"/>
      </w:r>
    </w:p>
    <w:p>
      <w:pPr>
        <w:pStyle w:val="18"/>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_Toc9364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_Toc9364 </w:instrText>
      </w:r>
      <w:r>
        <w:fldChar w:fldCharType="separate"/>
      </w:r>
      <w:r>
        <w:t>15</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_Toc8390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_Toc8390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_Toc992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_Toc13041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_Toc13041 </w:instrText>
      </w:r>
      <w:r>
        <w:fldChar w:fldCharType="separate"/>
      </w:r>
      <w:r>
        <w:t>17</w:t>
      </w:r>
      <w:r>
        <w:fldChar w:fldCharType="end"/>
      </w:r>
      <w:r>
        <w:rPr>
          <w:rFonts w:hint="default" w:ascii="Times New Roman" w:hAnsi="Times New Roman" w:cs="Times New Roman"/>
        </w:rPr>
        <w:fldChar w:fldCharType="end"/>
      </w:r>
    </w:p>
    <w:p>
      <w:pPr>
        <w:pStyle w:val="24"/>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_Toc15960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_Toc15960 </w:instrText>
      </w:r>
      <w:r>
        <w:fldChar w:fldCharType="separate"/>
      </w:r>
      <w:r>
        <w:t>19</w:t>
      </w:r>
      <w:r>
        <w:fldChar w:fldCharType="end"/>
      </w:r>
      <w:r>
        <w:rPr>
          <w:rFonts w:hint="default" w:ascii="Times New Roman" w:hAnsi="Times New Roman" w:cs="Times New Roman"/>
        </w:rPr>
        <w:fldChar w:fldCharType="end"/>
      </w:r>
    </w:p>
    <w:p>
      <w:pPr>
        <w:numPr>
          <w:ilvl w:val="0"/>
          <w:numId w:val="0"/>
        </w:numPr>
        <w:tabs>
          <w:tab w:val="left" w:pos="432"/>
          <w:tab w:val="left" w:pos="3462"/>
        </w:tabs>
        <w:spacing w:line="360" w:lineRule="auto"/>
        <w:ind w:left="3458"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2" w:name="_Toc317780789"/>
      <w:bookmarkStart w:id="23" w:name="_Toc317777146"/>
      <w:bookmarkStart w:id="24" w:name="_Toc383866656"/>
      <w:bookmarkStart w:id="25" w:name="_Toc312074210"/>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6" w:name="_Toc256000002"/>
      <w:bookmarkStart w:id="27" w:name="_Toc15120"/>
      <w:bookmarkStart w:id="28" w:name="_Toc31939"/>
      <w:r>
        <w:rPr>
          <w:rFonts w:hint="default" w:ascii="Times New Roman" w:hAnsi="Times New Roman" w:cs="Times New Roman"/>
          <w:kern w:val="0"/>
          <w:sz w:val="24"/>
          <w:szCs w:val="24"/>
        </w:rPr>
        <w:t>检测概况及说明</w:t>
      </w:r>
      <w:bookmarkEnd w:id="26"/>
      <w:bookmarkEnd w:id="27"/>
      <w:bookmarkEnd w:id="28"/>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9" w:name="_Toc24399"/>
      <w:r>
        <w:rPr>
          <w:rFonts w:hint="default" w:ascii="Times New Roman" w:hAnsi="Times New Roman" w:cs="Times New Roman"/>
          <w:sz w:val="24"/>
          <w:szCs w:val="24"/>
          <w:lang w:eastAsia="zh-CN"/>
        </w:rPr>
        <w:t>工程概况</w:t>
      </w:r>
      <w:bookmarkEnd w:id="29"/>
    </w:p>
    <w:p>
      <w:pPr>
        <w:pStyle w:val="61"/>
        <w:bidi w:val="0"/>
        <w:rPr>
          <w:rFonts w:hint="default"/>
        </w:rPr>
      </w:pPr>
      <w:r>
        <w:rPr>
          <w:rFonts w:hint="default"/>
        </w:rPr>
        <w:t>状元桥跨径为32+60+32m，桥宽8m，跨中梁高为2.4m，支点梁高为5.3m，梁高变化曲线采用3 次抛物线。钢箱梁采用单箱单室的钢箱梁断面，常规段两侧悬臂各为1.5m，中跨12m 范围内通过加长悬臂至3.5m</w:t>
      </w:r>
      <w:r>
        <w:rPr>
          <w:rFonts w:hint="eastAsia"/>
          <w:lang w:eastAsia="zh-CN"/>
        </w:rPr>
        <w:t>，</w:t>
      </w:r>
      <w:r>
        <w:rPr>
          <w:rFonts w:hint="default"/>
        </w:rPr>
        <w:t>实现桥宽变为12m。</w:t>
      </w:r>
    </w:p>
    <w:p>
      <w:pPr>
        <w:pStyle w:val="61"/>
        <w:bidi w:val="0"/>
        <w:rPr>
          <w:rFonts w:hint="default"/>
        </w:rPr>
      </w:pPr>
      <w:r>
        <w:rPr>
          <w:rFonts w:hint="default"/>
        </w:rPr>
        <w:t>钢箱梁箱内顶板纵肋采用U 肋，间距600mm，悬臂处纵肋采用板肋，间距300mm，底板、腹板纵肋均为板肋，底板纵肋间距400mm，底板宽度为5.1m,腹板在靠近上下底板处各设置两道纵肋；</w:t>
      </w:r>
    </w:p>
    <w:p>
      <w:pPr>
        <w:pStyle w:val="61"/>
        <w:bidi w:val="0"/>
        <w:rPr>
          <w:rFonts w:hint="default"/>
        </w:rPr>
      </w:pPr>
      <w:r>
        <w:rPr>
          <w:rFonts w:hint="default"/>
        </w:rPr>
        <w:t>顶板、底板全桥采用统一厚度22mm,腹板厚度为20mm；在桥廊立柱位设置厚度为16mm的横隔板，环形加劲肋布置于两道隔板之间，厚度为12mm，间距约为2.0m。全桥共设置两道中横梁与端横梁。</w:t>
      </w:r>
    </w:p>
    <w:p>
      <w:pPr>
        <w:pStyle w:val="61"/>
        <w:bidi w:val="0"/>
        <w:rPr>
          <w:rFonts w:hint="default"/>
        </w:rPr>
      </w:pPr>
      <w:r>
        <w:rPr>
          <w:rFonts w:hint="default"/>
        </w:rPr>
        <w:t>状元桥主桥桥墩为混凝土板式墩，2#主墩基础为钻孔灌注桩基础，3#主墩基础为扩大基础，西侧边跨桥墩为桩柱式钢管混凝土墩，桥台采用桩柱式台接扩大基础。钢结构平台墩柱采用桩柱式钢管混凝土墩。</w:t>
      </w:r>
    </w:p>
    <w:p>
      <w:pPr>
        <w:pStyle w:val="61"/>
        <w:bidi w:val="0"/>
        <w:rPr>
          <w:rFonts w:hint="default"/>
        </w:rPr>
      </w:pPr>
      <w:r>
        <w:rPr>
          <w:rFonts w:hint="default"/>
        </w:rPr>
        <w:t>设计荷载：人群荷载按CJJ69-1995《城市人行天桥与人行地道技术规范》计算。</w:t>
      </w:r>
    </w:p>
    <w:p>
      <w:pPr>
        <w:pStyle w:val="61"/>
        <w:bidi w:val="0"/>
        <w:rPr>
          <w:rFonts w:hint="default"/>
        </w:rPr>
      </w:pPr>
      <w:r>
        <w:rPr>
          <w:rFonts w:hint="default"/>
        </w:rPr>
        <w:t>混凝土铺装：17.5kN/m；栏杆：2.0kN/m；</w:t>
      </w:r>
    </w:p>
    <w:p>
      <w:pPr>
        <w:pStyle w:val="61"/>
        <w:bidi w:val="0"/>
        <w:rPr>
          <w:rFonts w:hint="default"/>
        </w:rPr>
      </w:pPr>
      <w:r>
        <w:rPr>
          <w:rFonts w:hint="default"/>
        </w:rPr>
        <w:t>桥廊荷载：桥宽8m段29kN，桥宽12m段58kN/m；</w:t>
      </w:r>
    </w:p>
    <w:p>
      <w:pPr>
        <w:pStyle w:val="61"/>
        <w:bidi w:val="0"/>
        <w:rPr>
          <w:rFonts w:hint="default"/>
        </w:rPr>
      </w:pPr>
      <w:r>
        <w:rPr>
          <w:rFonts w:hint="default"/>
        </w:rPr>
        <w:t>风荷载：按《公路桥梁抗风设计规范》计算，设计风速40m/s；</w:t>
      </w:r>
    </w:p>
    <w:p>
      <w:pPr>
        <w:pStyle w:val="61"/>
        <w:bidi w:val="0"/>
        <w:rPr>
          <w:rFonts w:hint="default"/>
        </w:rPr>
      </w:pPr>
      <w:r>
        <w:rPr>
          <w:rFonts w:hint="default"/>
        </w:rPr>
        <w:t>桥梁结构布置详见</w:t>
      </w:r>
      <w:r>
        <w:rPr>
          <w:rFonts w:hint="default"/>
        </w:rPr>
        <w:fldChar w:fldCharType="begin"/>
      </w:r>
      <w:r>
        <w:rPr>
          <w:rFonts w:hint="default"/>
        </w:rPr>
        <w:instrText xml:space="preserve"> REF _Ref1071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_Ref17265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-2</w:t>
      </w:r>
      <w:r>
        <w:rPr>
          <w:rFonts w:hint="default"/>
        </w:rPr>
        <w:fldChar w:fldCharType="end"/>
      </w:r>
      <w:r>
        <w:rPr>
          <w:rFonts w:hint="default"/>
          <w:lang w:eastAsia="zh-CN"/>
        </w:rPr>
        <w:t>，桥梁桥面照及立面照详见</w:t>
      </w:r>
      <w:r>
        <w:rPr>
          <w:rFonts w:hint="default"/>
          <w:lang w:eastAsia="zh-CN"/>
        </w:rPr>
        <w:fldChar w:fldCharType="begin"/>
      </w:r>
      <w:r>
        <w:rPr>
          <w:rFonts w:hint="default"/>
          <w:lang w:eastAsia="zh-CN"/>
        </w:rPr>
        <w:instrText xml:space="preserve"> REF _Ref32223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-3</w:t>
      </w:r>
      <w:r>
        <w:rPr>
          <w:rFonts w:hint="default"/>
          <w:lang w:eastAsia="zh-CN"/>
        </w:rPr>
        <w:fldChar w:fldCharType="end"/>
      </w:r>
      <w:r>
        <w:rPr>
          <w:rFonts w:hint="default"/>
          <w:lang w:eastAsia="zh-CN"/>
        </w:rPr>
        <w:t>、</w:t>
      </w:r>
      <w:r>
        <w:rPr>
          <w:rFonts w:hint="default"/>
          <w:lang w:eastAsia="zh-CN"/>
        </w:rPr>
        <w:fldChar w:fldCharType="begin"/>
      </w:r>
      <w:r>
        <w:rPr>
          <w:rFonts w:hint="default"/>
          <w:lang w:eastAsia="zh-CN"/>
        </w:rPr>
        <w:instrText xml:space="preserve"> REF _Ref14916 \h </w:instrText>
      </w:r>
      <w:r>
        <w:rPr>
          <w:rFonts w:hint="default"/>
          <w:lang w:eastAsia="zh-CN"/>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-4</w:t>
      </w:r>
      <w:r>
        <w:rPr>
          <w:rFonts w:hint="default"/>
          <w:lang w:eastAsia="zh-CN"/>
        </w:rPr>
        <w:fldChar w:fldCharType="end"/>
      </w:r>
      <w:r>
        <w:rPr>
          <w:rFonts w:hint="default"/>
          <w:lang w:eastAsia="zh-CN"/>
        </w:rPr>
        <w:t>。</w:t>
      </w:r>
    </w:p>
    <w:p>
      <w:pPr>
        <w:pStyle w:val="61"/>
        <w:bidi w:val="0"/>
        <w:rPr>
          <w:rFonts w:hint="default" w:ascii="Times New Roman" w:hAnsi="Times New Roman" w:cs="Times New Roman"/>
        </w:rPr>
      </w:pPr>
      <w:r>
        <w:rPr>
          <w:rFonts w:hint="default"/>
        </w:rPr>
        <w:t>为了解桥梁外观现状及结构性能是否满足设计要求，我公司受</w:t>
      </w:r>
      <w:r>
        <w:rPr>
          <w:rFonts w:hint="default"/>
          <w:lang w:val="zh-CN"/>
        </w:rPr>
        <w:t>莆田城市园林发展集团有限公司</w:t>
      </w:r>
      <w:r>
        <w:rPr>
          <w:rFonts w:hint="default"/>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30"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0"/>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2"/>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2"/>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1"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1"/>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3"/>
        <w:jc w:val="center"/>
        <w:rPr>
          <w:rFonts w:hint="default" w:ascii="Times New Roman" w:hAnsi="Times New Roman" w:eastAsia="宋体" w:cs="Times New Roman"/>
        </w:rPr>
      </w:pPr>
      <w:bookmarkStart w:id="32"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3"/>
        <w:jc w:val="center"/>
        <w:rPr>
          <w:rFonts w:hint="default" w:ascii="Times New Roman" w:hAnsi="Times New Roman" w:cs="Times New Roman"/>
        </w:rPr>
      </w:pPr>
      <w:bookmarkStart w:id="33"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3"/>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4" w:name="_Toc256000004"/>
      <w:bookmarkStart w:id="35" w:name="_Toc1838"/>
      <w:bookmarkStart w:id="36" w:name="_Toc29842"/>
      <w:r>
        <w:rPr>
          <w:rFonts w:hint="default" w:ascii="Times New Roman" w:hAnsi="Times New Roman" w:eastAsia="楷体_GB2312" w:cs="Times New Roman"/>
          <w:sz w:val="24"/>
          <w:szCs w:val="24"/>
        </w:rPr>
        <w:t>主要检测仪器</w:t>
      </w:r>
      <w:bookmarkEnd w:id="34"/>
      <w:bookmarkEnd w:id="35"/>
      <w:bookmarkEnd w:id="36"/>
    </w:p>
    <w:p>
      <w:pPr>
        <w:pStyle w:val="61"/>
        <w:bidi w:val="0"/>
        <w:rPr>
          <w:rFonts w:hint="default"/>
        </w:rPr>
      </w:pPr>
      <w:r>
        <w:rPr>
          <w:rFonts w:hint="default"/>
        </w:rPr>
        <w:t>现场主要检测仪器详见</w:t>
      </w:r>
      <w:r>
        <w:rPr>
          <w:rFonts w:hint="default"/>
        </w:rPr>
        <w:fldChar w:fldCharType="begin"/>
      </w:r>
      <w:r>
        <w:rPr>
          <w:rFonts w:hint="default"/>
        </w:rPr>
        <w:instrText xml:space="preserve"> REF _Ref2231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1</w:t>
      </w:r>
      <w:r>
        <w:rPr>
          <w:rFonts w:hint="default"/>
        </w:rPr>
        <w:fldChar w:fldCharType="end"/>
      </w:r>
      <w:r>
        <w:rPr>
          <w:rFonts w:hint="default"/>
        </w:rPr>
        <w:t>-1</w:t>
      </w:r>
      <w:r>
        <w:rPr>
          <w:rFonts w:hint="default"/>
        </w:rPr>
        <w:fldChar w:fldCharType="end"/>
      </w:r>
      <w:r>
        <w:rPr>
          <w:rFonts w:hint="default"/>
        </w:rPr>
        <w:t>。</w:t>
      </w:r>
    </w:p>
    <w:p>
      <w:pPr>
        <w:jc w:val="center"/>
        <w:rPr>
          <w:rFonts w:hint="default" w:ascii="Times New Roman" w:hAnsi="Times New Roman" w:cs="Times New Roman"/>
        </w:rPr>
      </w:pPr>
      <w:bookmarkStart w:id="37"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7"/>
      <w:r>
        <w:rPr>
          <w:rFonts w:hint="default" w:ascii="Times New Roman" w:hAnsi="Times New Roman" w:cs="Times New Roman"/>
        </w:rPr>
        <w:t xml:space="preserve"> 现场主要检测仪器一览表</w:t>
      </w:r>
    </w:p>
    <w:tbl>
      <w:tblPr>
        <w:tblStyle w:val="29"/>
        <w:tblW w:w="887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8" w:name="_Toc28598"/>
      <w:bookmarkStart w:id="39" w:name="_Toc7827"/>
      <w:bookmarkStart w:id="40" w:name="_Toc256000005"/>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8"/>
      <w:bookmarkEnd w:id="39"/>
      <w:bookmarkEnd w:id="40"/>
    </w:p>
    <w:p>
      <w:pPr>
        <w:pStyle w:val="61"/>
        <w:bidi w:val="0"/>
        <w:rPr>
          <w:rFonts w:hint="default"/>
        </w:rPr>
      </w:pPr>
      <w:bookmarkStart w:id="41" w:name="_Toc277773900"/>
      <w:r>
        <w:rPr>
          <w:rFonts w:hint="default"/>
        </w:rPr>
        <w:t>（1）桥梁外观检查</w:t>
      </w:r>
    </w:p>
    <w:p>
      <w:pPr>
        <w:pStyle w:val="61"/>
        <w:bidi w:val="0"/>
        <w:rPr>
          <w:rFonts w:hint="default"/>
        </w:rPr>
      </w:pPr>
      <w:r>
        <w:rPr>
          <w:rFonts w:hint="default"/>
        </w:rPr>
        <w:t>（2）桥梁静载试验</w:t>
      </w:r>
    </w:p>
    <w:p>
      <w:pPr>
        <w:pStyle w:val="61"/>
        <w:bidi w:val="0"/>
        <w:rPr>
          <w:rFonts w:hint="default" w:ascii="Times New Roman" w:hAnsi="Times New Roman" w:cs="Times New Roman"/>
        </w:rPr>
      </w:pPr>
      <w:r>
        <w:rPr>
          <w:rFonts w:hint="default"/>
        </w:rPr>
        <w:t>（3）桥梁动载试验</w:t>
      </w:r>
    </w:p>
    <w:bookmarkEnd w:id="41"/>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2" w:name="_Toc27043"/>
      <w:bookmarkStart w:id="43" w:name="_Toc256000006"/>
      <w:bookmarkStart w:id="44" w:name="_Toc21482"/>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2"/>
      <w:bookmarkEnd w:id="43"/>
      <w:bookmarkEnd w:id="44"/>
    </w:p>
    <w:p>
      <w:pPr>
        <w:pStyle w:val="61"/>
        <w:bidi w:val="0"/>
        <w:rPr>
          <w:rFonts w:hint="default"/>
        </w:rPr>
      </w:pPr>
      <w:r>
        <w:rPr>
          <w:rFonts w:hint="default"/>
        </w:rPr>
        <w:t>（1）通过桥梁外观检查，查明缺损的部位、类型、性质、范围、数量和程度，为桥梁成桥竣工验收及后期养护提供基本数据。</w:t>
      </w:r>
    </w:p>
    <w:p>
      <w:pPr>
        <w:pStyle w:val="61"/>
        <w:bidi w:val="0"/>
        <w:rPr>
          <w:rFonts w:hint="default"/>
        </w:rPr>
      </w:pPr>
      <w:r>
        <w:rPr>
          <w:rFonts w:hint="default"/>
        </w:rPr>
        <w:t>（2）通过测定桥梁结构在荷载作用下的控制断面内力（应力）和挠度，并与理论计算值比较，检验结构静力性能是否满足设计与规范要求。</w:t>
      </w:r>
    </w:p>
    <w:p>
      <w:pPr>
        <w:pStyle w:val="61"/>
        <w:bidi w:val="0"/>
        <w:rPr>
          <w:rFonts w:hint="default"/>
        </w:rPr>
      </w:pPr>
      <w:r>
        <w:rPr>
          <w:rFonts w:hint="default"/>
        </w:rPr>
        <w:t>（3）通过测定桥跨结构的自振特性，以评定结构的实际动力性能。</w:t>
      </w:r>
    </w:p>
    <w:p>
      <w:pPr>
        <w:pStyle w:val="61"/>
        <w:bidi w:val="0"/>
        <w:rPr>
          <w:rFonts w:hint="default" w:ascii="Times New Roman" w:hAnsi="Times New Roman" w:cs="Times New Roman"/>
          <w:bCs/>
        </w:rPr>
      </w:pPr>
      <w:r>
        <w:rPr>
          <w:rFonts w:hint="default"/>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5" w:name="_Toc9603"/>
      <w:bookmarkStart w:id="46" w:name="_Toc11845"/>
      <w:bookmarkStart w:id="47" w:name="_Toc256000007"/>
      <w:r>
        <w:rPr>
          <w:rFonts w:hint="default" w:ascii="Times New Roman" w:hAnsi="Times New Roman" w:eastAsia="楷体_GB2312" w:cs="Times New Roman"/>
          <w:sz w:val="24"/>
          <w:szCs w:val="24"/>
        </w:rPr>
        <w:t>构件编号说明</w:t>
      </w:r>
      <w:bookmarkEnd w:id="45"/>
      <w:bookmarkEnd w:id="46"/>
      <w:bookmarkEnd w:id="47"/>
    </w:p>
    <w:p>
      <w:pPr>
        <w:pStyle w:val="61"/>
        <w:bidi w:val="0"/>
        <w:rPr>
          <w:rFonts w:hint="default" w:ascii="Times New Roman" w:hAnsi="Times New Roman" w:cs="Times New Roman"/>
          <w:color w:val="FF0000"/>
        </w:rPr>
      </w:pPr>
      <w:r>
        <w:rPr>
          <w:rFonts w:hint="default"/>
        </w:rPr>
        <w:t>本次检测以自西向东为前进方向，依次将桥</w:t>
      </w:r>
      <w:r>
        <w:rPr>
          <w:rFonts w:hint="default"/>
          <w:lang w:eastAsia="zh-CN"/>
        </w:rPr>
        <w:t>墩</w:t>
      </w:r>
      <w:r>
        <w:rPr>
          <w:rFonts w:hint="default"/>
        </w:rPr>
        <w:t>台编号为</w:t>
      </w:r>
      <w:r>
        <w:rPr>
          <w:rFonts w:hint="default"/>
          <w:lang w:val="en-US" w:eastAsia="zh-CN"/>
        </w:rPr>
        <w:t>1</w:t>
      </w:r>
      <w:r>
        <w:rPr>
          <w:rFonts w:hint="default"/>
        </w:rPr>
        <w:t>#</w:t>
      </w:r>
      <w:r>
        <w:rPr>
          <w:rFonts w:hint="default"/>
          <w:lang w:eastAsia="zh-CN"/>
        </w:rPr>
        <w:t>墩</w:t>
      </w:r>
      <w:r>
        <w:rPr>
          <w:rFonts w:hint="default"/>
        </w:rPr>
        <w:t>、</w:t>
      </w:r>
      <w:r>
        <w:rPr>
          <w:rFonts w:hint="default"/>
          <w:lang w:val="en-US" w:eastAsia="zh-CN"/>
        </w:rPr>
        <w:t>2</w:t>
      </w:r>
      <w:r>
        <w:rPr>
          <w:rFonts w:hint="default"/>
        </w:rPr>
        <w:t>#</w:t>
      </w:r>
      <w:r>
        <w:rPr>
          <w:rFonts w:hint="default"/>
          <w:lang w:eastAsia="zh-CN"/>
        </w:rPr>
        <w:t>墩、</w:t>
      </w:r>
      <w:r>
        <w:rPr>
          <w:rFonts w:hint="default"/>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8" w:name="_Toc256000011"/>
      <w:bookmarkStart w:id="49" w:name="_Toc26720"/>
      <w:bookmarkStart w:id="50" w:name="_Toc12994"/>
      <w:r>
        <w:rPr>
          <w:rFonts w:hint="default" w:ascii="Times New Roman" w:hAnsi="Times New Roman" w:cs="Times New Roman"/>
          <w:kern w:val="0"/>
          <w:sz w:val="24"/>
          <w:szCs w:val="24"/>
        </w:rPr>
        <w:t>桥梁外观检查</w:t>
      </w:r>
      <w:bookmarkEnd w:id="48"/>
      <w:bookmarkEnd w:id="49"/>
      <w:bookmarkEnd w:id="50"/>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1" w:name="_Toc8704"/>
      <w:r>
        <w:rPr>
          <w:rFonts w:hint="default" w:ascii="Times New Roman" w:hAnsi="Times New Roman" w:cs="Times New Roman"/>
          <w:sz w:val="24"/>
          <w:szCs w:val="24"/>
          <w:lang w:eastAsia="zh-CN"/>
        </w:rPr>
        <w:t>桥</w:t>
      </w:r>
      <w:r>
        <w:rPr>
          <w:rFonts w:hint="default" w:ascii="Times New Roman" w:hAnsi="Times New Roman" w:cs="Times New Roman"/>
        </w:rPr>
        <w:t>面系检查结果</w:t>
      </w:r>
      <w:bookmarkEnd w:id="51"/>
    </w:p>
    <w:p>
      <w:pPr>
        <w:jc w:val="left"/>
        <w:rPr>
          <w:rFonts w:hint="default" w:ascii="Times New Roman" w:hAnsi="Times New Roman" w:cs="Times New Roman"/>
        </w:rPr>
      </w:pPr>
      <w:bookmarkStart w:id="52" w:name="BridgeDeckStart"/>
      <w:bookmarkEnd w:id="52"/>
    </w:p>
    <w:p>
      <w:pPr>
        <w:pStyle w:val="61"/>
        <w:bidi w:val="0"/>
        <w:rPr>
          <w:rFonts w:hint="default"/>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32105"/>
      <w:r>
        <w:rPr>
          <w:rFonts w:hint="default" w:ascii="Times New Roman" w:hAnsi="Times New Roman" w:cs="Times New Roman"/>
          <w:sz w:val="24"/>
          <w:szCs w:val="24"/>
          <w:lang w:eastAsia="zh-CN"/>
        </w:rPr>
        <w:t>上部结构检查结果</w:t>
      </w:r>
      <w:bookmarkEnd w:id="53"/>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rPr>
      </w:pPr>
      <w:bookmarkStart w:id="54" w:name="SuperSpaceStart"/>
      <w:bookmarkEnd w:id="54"/>
    </w:p>
    <w:p>
      <w:pPr>
        <w:pStyle w:val="61"/>
        <w:bidi w:val="0"/>
        <w:rPr>
          <w:rFonts w:hint="default"/>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5" w:name="_Toc25981"/>
      <w:r>
        <w:rPr>
          <w:rFonts w:hint="default" w:ascii="Times New Roman" w:hAnsi="Times New Roman" w:cs="Times New Roman"/>
          <w:sz w:val="24"/>
          <w:szCs w:val="24"/>
          <w:lang w:eastAsia="zh-CN"/>
        </w:rPr>
        <w:t>下部结构检查结果</w:t>
      </w:r>
      <w:bookmarkEnd w:id="55"/>
      <w:bookmarkStart w:id="130" w:name="_GoBack"/>
      <w:bookmarkEnd w:id="130"/>
    </w:p>
    <w:p>
      <w:pPr>
        <w:jc w:val="left"/>
        <w:rPr>
          <w:rFonts w:hint="default" w:ascii="Times New Roman" w:hAnsi="Times New Roman" w:cs="Times New Roman"/>
        </w:rPr>
      </w:pPr>
      <w:bookmarkStart w:id="56" w:name="SubSpaceStart"/>
      <w:bookmarkEnd w:id="56"/>
    </w:p>
    <w:p>
      <w:pPr>
        <w:pStyle w:val="61"/>
        <w:bidi w:val="0"/>
        <w:rPr>
          <w:rFonts w:hint="default"/>
        </w:rPr>
      </w:pPr>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7" w:name="_Toc17011"/>
      <w:bookmarkStart w:id="58" w:name="_Toc256000016"/>
      <w:bookmarkStart w:id="59" w:name="_Toc17606"/>
      <w:r>
        <w:rPr>
          <w:rFonts w:hint="default" w:ascii="Times New Roman" w:hAnsi="Times New Roman" w:cs="Times New Roman"/>
          <w:kern w:val="0"/>
          <w:sz w:val="24"/>
          <w:szCs w:val="24"/>
        </w:rPr>
        <w:t>桥梁静载试验</w:t>
      </w:r>
      <w:bookmarkEnd w:id="57"/>
      <w:bookmarkEnd w:id="58"/>
      <w:bookmarkEnd w:id="5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0" w:name="_Toc12370"/>
      <w:bookmarkStart w:id="61" w:name="_Toc256000017"/>
      <w:bookmarkStart w:id="62" w:name="_Toc3344"/>
      <w:r>
        <w:rPr>
          <w:rFonts w:hint="default" w:ascii="Times New Roman" w:hAnsi="Times New Roman" w:eastAsia="楷体_GB2312" w:cs="Times New Roman"/>
          <w:sz w:val="24"/>
          <w:szCs w:val="24"/>
        </w:rPr>
        <w:t>静载试验概况</w:t>
      </w:r>
      <w:bookmarkEnd w:id="60"/>
      <w:bookmarkEnd w:id="61"/>
      <w:bookmarkEnd w:id="62"/>
    </w:p>
    <w:p>
      <w:pPr>
        <w:pStyle w:val="61"/>
        <w:bidi w:val="0"/>
        <w:rPr>
          <w:rFonts w:hint="default"/>
        </w:rPr>
      </w:pPr>
      <w:r>
        <w:rPr>
          <w:rFonts w:hint="default"/>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3" w:name="_Toc15282"/>
      <w:r>
        <w:rPr>
          <w:rFonts w:hint="default"/>
        </w:rPr>
        <w:t>试验荷载</w:t>
      </w:r>
      <w:bookmarkEnd w:id="63"/>
    </w:p>
    <w:p>
      <w:pPr>
        <w:pStyle w:val="61"/>
        <w:bidi w:val="0"/>
        <w:rPr>
          <w:rFonts w:hint="default" w:ascii="Times New Roman" w:hAnsi="Times New Roman" w:cs="Times New Roman"/>
          <w:bCs/>
        </w:rPr>
      </w:pPr>
      <w:r>
        <w:rPr>
          <w:rFonts w:hint="default"/>
        </w:rPr>
        <w:t>根据桥梁结构现状，本次静载试验采用汽车加载方式，在荷载效率η</w:t>
      </w:r>
      <w:r>
        <w:rPr>
          <w:rFonts w:hint="default"/>
          <w:vertAlign w:val="subscript"/>
        </w:rPr>
        <w:t>s</w:t>
      </w:r>
      <w:r>
        <w:rPr>
          <w:rFonts w:hint="default"/>
        </w:rPr>
        <w:t>范围内对桥梁加载吨位进行计算，最后确定采用4部重车进行静载试验，现场实际所用加载车辆技术指标及轴重详见</w:t>
      </w:r>
      <w:r>
        <w:rPr>
          <w:rFonts w:hint="default"/>
        </w:rPr>
        <w:fldChar w:fldCharType="begin"/>
      </w:r>
      <w:r>
        <w:rPr>
          <w:rFonts w:hint="default"/>
        </w:rPr>
        <w:instrText xml:space="preserve"> REF _Ref31774 \h </w:instrText>
      </w:r>
      <w:r>
        <w:rPr>
          <w:rFonts w:hint="default"/>
        </w:rPr>
        <w:fldChar w:fldCharType="separate"/>
      </w:r>
      <w:r>
        <w:rPr>
          <w:rFonts w:hint="default"/>
        </w:rPr>
        <w:t xml:space="preserve">图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r>
        <w:rPr>
          <w:rFonts w:hint="default"/>
        </w:rPr>
        <w:fldChar w:fldCharType="begin"/>
      </w:r>
      <w:r>
        <w:rPr>
          <w:rFonts w:hint="default"/>
        </w:rPr>
        <w:instrText xml:space="preserve"> REF _Ref16254 \h </w:instrText>
      </w:r>
      <w:r>
        <w:rPr>
          <w:rFonts w:hint="default"/>
        </w:rPr>
        <w:fldChar w:fldCharType="separate"/>
      </w:r>
      <w:r>
        <w:rPr>
          <w:rFonts w:hint="default"/>
        </w:rPr>
        <w:t xml:space="preserve">表 </w:t>
      </w:r>
      <w:r>
        <w:rPr>
          <w:rFonts w:hint="default"/>
        </w:rPr>
        <w:fldChar w:fldCharType="begin"/>
      </w:r>
      <w:r>
        <w:rPr>
          <w:rFonts w:hint="default"/>
        </w:rPr>
        <w:instrText xml:space="preserve"> STYLEREF 1 \s </w:instrText>
      </w:r>
      <w:r>
        <w:rPr>
          <w:rFonts w:hint="default"/>
        </w:rPr>
        <w:fldChar w:fldCharType="separate"/>
      </w:r>
      <w:r>
        <w:rPr>
          <w:rFonts w:hint="default"/>
        </w:rPr>
        <w:t>3</w:t>
      </w:r>
      <w:r>
        <w:rPr>
          <w:rFonts w:hint="default"/>
        </w:rPr>
        <w:fldChar w:fldCharType="end"/>
      </w:r>
      <w:r>
        <w:rPr>
          <w:rFonts w:hint="default"/>
        </w:rPr>
        <w:t>-1</w:t>
      </w:r>
      <w:r>
        <w:rPr>
          <w:rFonts w:hint="default"/>
        </w:rPr>
        <w:fldChar w:fldCharType="end"/>
      </w:r>
      <w:r>
        <w:rPr>
          <w:rFonts w:hint="default"/>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3"/>
        <w:jc w:val="center"/>
        <w:rPr>
          <w:rFonts w:hint="default" w:ascii="Times New Roman" w:hAnsi="Times New Roman" w:cs="Times New Roman"/>
        </w:rPr>
      </w:pPr>
      <w:bookmarkStart w:id="64"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4"/>
      <w:r>
        <w:rPr>
          <w:rFonts w:hint="default" w:ascii="Times New Roman" w:hAnsi="Times New Roman" w:cs="Times New Roman"/>
        </w:rPr>
        <w:t xml:space="preserve"> 加载汽车平面示意图</w:t>
      </w:r>
    </w:p>
    <w:p>
      <w:pPr>
        <w:pStyle w:val="13"/>
        <w:snapToGrid w:val="0"/>
        <w:jc w:val="center"/>
        <w:rPr>
          <w:rFonts w:hint="default" w:ascii="Times New Roman" w:hAnsi="Times New Roman" w:cs="Times New Roman"/>
        </w:rPr>
      </w:pPr>
      <w:bookmarkStart w:id="65"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5"/>
      <w:r>
        <w:rPr>
          <w:rFonts w:hint="default" w:ascii="Times New Roman" w:hAnsi="Times New Roman" w:cs="Times New Roman"/>
        </w:rPr>
        <w:t xml:space="preserve"> 加载车辆参数表</w:t>
      </w:r>
    </w:p>
    <w:tbl>
      <w:tblPr>
        <w:tblStyle w:val="29"/>
        <w:tblW w:w="9043"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6" w:name="_Toc11134"/>
      <w:r>
        <w:rPr>
          <w:rFonts w:hint="default"/>
        </w:rPr>
        <w:t>加载工况及荷载效率</w:t>
      </w:r>
      <w:bookmarkEnd w:id="66"/>
    </w:p>
    <w:p>
      <w:pPr>
        <w:pStyle w:val="61"/>
        <w:bidi w:val="0"/>
        <w:rPr>
          <w:rFonts w:hint="default"/>
        </w:rPr>
      </w:pPr>
      <w:r>
        <w:rPr>
          <w:rFonts w:hint="default"/>
        </w:rPr>
        <w:t>试验中各工况下所需加载车辆布置根据控制截面在设计标准活载（人群荷载按CJJ69-1995《城市人行天桥与人行地道技术规范》计算）作用下的最不利效应值按等效原则换算而得。</w:t>
      </w:r>
    </w:p>
    <w:p>
      <w:pPr>
        <w:pStyle w:val="61"/>
        <w:bidi w:val="0"/>
        <w:rPr>
          <w:rFonts w:hint="default"/>
        </w:rPr>
      </w:pPr>
      <w:r>
        <w:rPr>
          <w:rFonts w:hint="default"/>
        </w:rPr>
        <w:t>本次试验为验收性荷载试验，根据《城市桥梁检测与评定技术规范》（CJJ/T 233-2015），荷载试验效率要求如下：</w:t>
      </w:r>
    </w:p>
    <w:p>
      <w:pPr>
        <w:ind w:firstLine="410" w:firstLineChars="171"/>
        <w:jc w:val="center"/>
        <w:rPr>
          <w:rFonts w:hint="default" w:ascii="Times New Roman" w:hAnsi="Times New Roman" w:cs="Times New Roman"/>
        </w:rPr>
      </w:pPr>
      <w:bookmarkStart w:id="67"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68" w:name="_Ref301692716"/>
    </w:p>
    <w:p>
      <w:pPr>
        <w:pStyle w:val="13"/>
        <w:spacing w:line="400" w:lineRule="exact"/>
        <w:jc w:val="center"/>
        <w:rPr>
          <w:rFonts w:hint="default" w:ascii="Times New Roman" w:hAnsi="Times New Roman" w:cs="Times New Roman"/>
          <w:szCs w:val="24"/>
        </w:rPr>
      </w:pPr>
      <w:bookmarkStart w:id="69"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69"/>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29"/>
        <w:tblW w:w="9636"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7"/>
    <w:bookmarkEnd w:id="68"/>
    <w:p>
      <w:pPr>
        <w:pStyle w:val="2"/>
        <w:rPr>
          <w:rFonts w:hint="default" w:ascii="Times New Roman" w:hAnsi="Times New Roman" w:cs="Times New Roman"/>
        </w:rPr>
      </w:pPr>
      <w:bookmarkStart w:id="70" w:name="_Toc256000020"/>
      <w:bookmarkStart w:id="71" w:name="_Toc6169"/>
      <w:bookmarkStart w:id="72" w:name="_Toc818"/>
      <w:bookmarkStart w:id="73" w:name="_Toc394613371"/>
      <w:bookmarkStart w:id="74" w:name="_Toc398541188"/>
      <w:bookmarkStart w:id="75" w:name="_Toc7673"/>
      <w:bookmarkStart w:id="76" w:name="_Toc1638"/>
      <w:bookmarkStart w:id="77" w:name="_Toc398305884"/>
      <w:bookmarkStart w:id="78" w:name="_Toc12393"/>
      <w:bookmarkStart w:id="79" w:name="_Toc399658319"/>
      <w:bookmarkStart w:id="80" w:name="_Toc10717"/>
      <w:bookmarkStart w:id="81" w:name="_Toc470253996"/>
      <w:bookmarkStart w:id="82" w:name="_Toc17087"/>
      <w:bookmarkStart w:id="83" w:name="_Toc399150334"/>
      <w:bookmarkStart w:id="84" w:name="_Toc399517692"/>
      <w:bookmarkStart w:id="85" w:name="_Toc443"/>
      <w:bookmarkStart w:id="86" w:name="_Toc20568"/>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2"/>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2"/>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pStyle w:val="5"/>
        <w:ind w:left="720" w:leftChars="0" w:hanging="720" w:firstLineChars="0"/>
        <w:rPr>
          <w:rFonts w:hint="default"/>
        </w:rPr>
      </w:pPr>
      <w:bookmarkStart w:id="87" w:name="_Toc29297"/>
      <w:bookmarkStart w:id="88" w:name="_Toc277773927"/>
      <w:r>
        <w:rPr>
          <w:rFonts w:hint="default"/>
        </w:rPr>
        <w:t>控制截面及测点布置</w:t>
      </w:r>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89"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89"/>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88"/>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0"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0"/>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1"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2" w:name="_Toc32328"/>
      <w:r>
        <w:rPr>
          <w:rFonts w:hint="default"/>
        </w:rPr>
        <w:t>加载过程</w:t>
      </w:r>
      <w:bookmarkEnd w:id="92"/>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3" w:name="_Toc256000022"/>
      <w:bookmarkStart w:id="94" w:name="_Toc3489"/>
      <w:bookmarkStart w:id="95" w:name="_Toc20381"/>
      <w:r>
        <w:rPr>
          <w:rFonts w:hint="default" w:ascii="Times New Roman" w:hAnsi="Times New Roman" w:eastAsia="楷体_GB2312" w:cs="Times New Roman"/>
          <w:sz w:val="24"/>
          <w:szCs w:val="24"/>
        </w:rPr>
        <w:t>静载试验结果</w:t>
      </w:r>
      <w:bookmarkEnd w:id="93"/>
      <w:bookmarkEnd w:id="94"/>
      <w:bookmarkEnd w:id="95"/>
    </w:p>
    <w:p>
      <w:pPr>
        <w:pStyle w:val="5"/>
        <w:ind w:left="720" w:leftChars="0" w:hanging="720" w:firstLineChars="0"/>
        <w:rPr>
          <w:rFonts w:hint="default"/>
        </w:rPr>
      </w:pPr>
      <w:bookmarkStart w:id="96" w:name="_Toc2090"/>
      <w:r>
        <w:rPr>
          <w:rFonts w:hint="default"/>
        </w:rPr>
        <w:t>工况一测试结果</w:t>
      </w:r>
      <w:bookmarkEnd w:id="9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7" w:name="ReportStart"/>
      <w:bookmarkEnd w:id="97"/>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3"/>
        <w:snapToGrid w:val="0"/>
        <w:spacing w:line="400" w:lineRule="exact"/>
        <w:jc w:val="center"/>
        <w:rPr>
          <w:rFonts w:hint="default" w:ascii="Times New Roman" w:hAnsi="Times New Roman" w:cs="Times New Roman"/>
        </w:rPr>
      </w:pPr>
      <w:bookmarkStart w:id="98"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98"/>
      <w:r>
        <w:rPr>
          <w:rFonts w:hint="default" w:ascii="Times New Roman" w:hAnsi="Times New Roman" w:cs="Times New Roman"/>
        </w:rPr>
        <w:t xml:space="preserve"> 工况一挠度检测结果汇总表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99"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99"/>
      <w:r>
        <w:rPr>
          <w:rFonts w:hint="default" w:ascii="Times New Roman" w:hAnsi="Times New Roman" w:cs="Times New Roman"/>
        </w:rPr>
        <w:t xml:space="preserve"> 工况一应变检测结果汇总表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3"/>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0"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0"/>
    <w:p>
      <w:pPr>
        <w:pStyle w:val="5"/>
        <w:ind w:left="720" w:leftChars="0" w:hanging="720" w:firstLineChars="0"/>
        <w:rPr>
          <w:rFonts w:hint="default"/>
        </w:rPr>
      </w:pPr>
      <w:bookmarkStart w:id="101" w:name="_Toc6977"/>
      <w:r>
        <w:rPr>
          <w:rFonts w:hint="default"/>
        </w:rPr>
        <w:t>工况二测试结果</w:t>
      </w:r>
      <w:bookmarkEnd w:id="101"/>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2"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2"/>
      <w:r>
        <w:rPr>
          <w:rFonts w:hint="default" w:ascii="Times New Roman" w:hAnsi="Times New Roman" w:cs="Times New Roman"/>
        </w:rPr>
        <w:t xml:space="preserve"> 工况二挠度检测结果汇总表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3"/>
        <w:snapToGrid w:val="0"/>
        <w:jc w:val="center"/>
        <w:rPr>
          <w:rFonts w:hint="default" w:ascii="Times New Roman" w:hAnsi="Times New Roman" w:cs="Times New Roman"/>
        </w:rPr>
      </w:pPr>
      <w:bookmarkStart w:id="103"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3"/>
      <w:r>
        <w:rPr>
          <w:rFonts w:hint="default" w:ascii="Times New Roman" w:hAnsi="Times New Roman" w:cs="Times New Roman"/>
        </w:rPr>
        <w:t xml:space="preserve"> 工况二应变检测结果汇总表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4"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5" w:name="_Toc9364"/>
      <w:r>
        <w:rPr>
          <w:rFonts w:hint="default"/>
        </w:rPr>
        <w:t>工况</w:t>
      </w:r>
      <w:r>
        <w:rPr>
          <w:rFonts w:hint="eastAsia"/>
          <w:lang w:eastAsia="zh-CN"/>
        </w:rPr>
        <w:t>三</w:t>
      </w:r>
      <w:r>
        <w:rPr>
          <w:rFonts w:hint="default"/>
        </w:rPr>
        <w:t>测试结果</w:t>
      </w:r>
      <w:bookmarkEnd w:id="105"/>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3"/>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0"/>
        <w:tblW w:w="848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4"/>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6" w:name="_Toc256000028"/>
      <w:bookmarkStart w:id="107" w:name="_Toc14028"/>
      <w:bookmarkStart w:id="108" w:name="_Toc8390"/>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6"/>
      <w:bookmarkEnd w:id="107"/>
      <w:bookmarkEnd w:id="108"/>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09" w:name="_Toc992"/>
      <w:r>
        <w:rPr>
          <w:rFonts w:hint="default" w:ascii="Times New Roman" w:hAnsi="Times New Roman" w:eastAsia="楷体_GB2312" w:cs="Times New Roman"/>
          <w:sz w:val="24"/>
          <w:szCs w:val="24"/>
        </w:rPr>
        <w:t>测点布置</w:t>
      </w:r>
      <w:bookmarkEnd w:id="109"/>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3"/>
        <w:snapToGrid w:val="0"/>
        <w:jc w:val="center"/>
        <w:rPr>
          <w:rFonts w:hint="default" w:ascii="Times New Roman" w:hAnsi="Times New Roman" w:cs="Times New Roman"/>
        </w:rPr>
      </w:pPr>
      <w:bookmarkStart w:id="110"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0"/>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3041"/>
      <w:r>
        <w:rPr>
          <w:rFonts w:hint="default" w:ascii="Times New Roman" w:hAnsi="Times New Roman" w:eastAsia="楷体_GB2312" w:cs="Times New Roman"/>
          <w:sz w:val="24"/>
          <w:szCs w:val="24"/>
        </w:rPr>
        <w:t>试验结果与分析</w:t>
      </w:r>
      <w:bookmarkEnd w:id="111"/>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2"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2"/>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3"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3"/>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2"/>
      <w:bookmarkEnd w:id="23"/>
      <w:bookmarkEnd w:id="24"/>
      <w:bookmarkEnd w:id="25"/>
      <w:bookmarkStart w:id="114" w:name="_Toc256000105"/>
      <w:bookmarkStart w:id="115" w:name="_Toc11255"/>
      <w:bookmarkStart w:id="116" w:name="_Toc256000092"/>
      <w:bookmarkStart w:id="117" w:name="_Toc256000144"/>
      <w:bookmarkStart w:id="118" w:name="_Toc256000131"/>
      <w:bookmarkStart w:id="119" w:name="_Toc256000027"/>
      <w:bookmarkStart w:id="120" w:name="_Toc256000014"/>
      <w:bookmarkStart w:id="121" w:name="_Toc256000040"/>
      <w:bookmarkStart w:id="122" w:name="_Toc256000118"/>
      <w:bookmarkStart w:id="123" w:name="_Toc256000035"/>
      <w:bookmarkStart w:id="124" w:name="_Toc256000066"/>
      <w:bookmarkStart w:id="125" w:name="_Toc256000053"/>
      <w:bookmarkStart w:id="126" w:name="_Toc256000079"/>
      <w:bookmarkStart w:id="127" w:name="_Toc26195"/>
      <w:bookmarkStart w:id="128" w:name="_Toc31863"/>
      <w:bookmarkStart w:id="129" w:name="_Toc15960"/>
      <w:r>
        <w:rPr>
          <w:rStyle w:val="51"/>
          <w:rFonts w:hint="default" w:ascii="Times New Roman" w:hAnsi="Times New Roman" w:cs="Times New Roman"/>
          <w:sz w:val="24"/>
          <w:szCs w:val="24"/>
        </w:rPr>
        <w:t>附件  现场检测照片</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bookmarkEnd w:id="128"/>
    <w:bookmarkEnd w:id="129"/>
    <w:tbl>
      <w:tblPr>
        <w:tblStyle w:val="29"/>
        <w:tblW w:w="9457" w:type="dxa"/>
        <w:jc w:val="center"/>
        <w:tblLayout w:type="fixed"/>
        <w:tblCellMar>
          <w:top w:w="0" w:type="dxa"/>
          <w:left w:w="108" w:type="dxa"/>
          <w:bottom w:w="0" w:type="dxa"/>
          <w:right w:w="108" w:type="dxa"/>
        </w:tblCellMar>
      </w:tblPr>
      <w:tblGrid>
        <w:gridCol w:w="4728"/>
        <w:gridCol w:w="4729"/>
      </w:tblGrid>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de 128">
    <w:altName w:val="AMGDT"/>
    <w:panose1 w:val="05000000000000000000"/>
    <w:charset w:val="00"/>
    <w:family w:val="auto"/>
    <w:pitch w:val="default"/>
    <w:sig w:usb0="00000000" w:usb1="00000000" w:usb2="00000000" w:usb3="00000000" w:csb0="80000001"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06750B"/>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345E23"/>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AA0B94"/>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AC3127C"/>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AB412C"/>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CA7B0D"/>
    <w:rsid w:val="7ED733D2"/>
    <w:rsid w:val="7EEA3630"/>
    <w:rsid w:val="7EF7632F"/>
    <w:rsid w:val="7F0731A1"/>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31">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3">
    <w:name w:val="caption"/>
    <w:basedOn w:val="1"/>
    <w:next w:val="1"/>
    <w:qFormat/>
    <w:uiPriority w:val="0"/>
    <w:rPr>
      <w:rFonts w:cs="Arial"/>
      <w:szCs w:val="20"/>
    </w:rPr>
  </w:style>
  <w:style w:type="paragraph" w:styleId="14">
    <w:name w:val="Document Map"/>
    <w:basedOn w:val="1"/>
    <w:semiHidden/>
    <w:qFormat/>
    <w:uiPriority w:val="0"/>
    <w:pPr>
      <w:shd w:val="clear" w:color="auto" w:fill="000080"/>
    </w:pPr>
  </w:style>
  <w:style w:type="paragraph" w:styleId="15">
    <w:name w:val="annotation text"/>
    <w:basedOn w:val="1"/>
    <w:semiHidden/>
    <w:qFormat/>
    <w:uiPriority w:val="0"/>
    <w:pPr>
      <w:jc w:val="left"/>
    </w:pPr>
  </w:style>
  <w:style w:type="paragraph" w:styleId="16">
    <w:name w:val="Body Text"/>
    <w:basedOn w:val="1"/>
    <w:link w:val="52"/>
    <w:qFormat/>
    <w:uiPriority w:val="0"/>
    <w:pPr>
      <w:spacing w:after="12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paragraph" w:styleId="27">
    <w:name w:val="annotation subject"/>
    <w:basedOn w:val="15"/>
    <w:next w:val="15"/>
    <w:semiHidden/>
    <w:qFormat/>
    <w:uiPriority w:val="0"/>
    <w:rPr>
      <w:b/>
      <w:bCs/>
    </w:rPr>
  </w:style>
  <w:style w:type="paragraph" w:styleId="28">
    <w:name w:val="Body Text First Indent"/>
    <w:basedOn w:val="16"/>
    <w:link w:val="59"/>
    <w:qFormat/>
    <w:uiPriority w:val="0"/>
    <w:pPr>
      <w:spacing w:line="400" w:lineRule="exact"/>
      <w:ind w:firstLine="420" w:firstLineChars="100"/>
    </w:pPr>
  </w:style>
  <w:style w:type="table" w:styleId="30">
    <w:name w:val="Table Grid"/>
    <w:basedOn w:val="2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qFormat/>
    <w:uiPriority w:val="0"/>
  </w:style>
  <w:style w:type="character" w:styleId="33">
    <w:name w:val="Hyperlink"/>
    <w:qFormat/>
    <w:uiPriority w:val="99"/>
    <w:rPr>
      <w:rFonts w:hint="eastAsia" w:ascii="宋体" w:hAnsi="宋体" w:eastAsia="宋体"/>
      <w:color w:val="000000"/>
      <w:sz w:val="18"/>
      <w:szCs w:val="18"/>
      <w:u w:val="none"/>
    </w:rPr>
  </w:style>
  <w:style w:type="character" w:styleId="34">
    <w:name w:val="annotation reference"/>
    <w:semiHidden/>
    <w:qFormat/>
    <w:uiPriority w:val="0"/>
    <w:rPr>
      <w:sz w:val="21"/>
      <w:szCs w:val="21"/>
    </w:r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6"/>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28"/>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 w:type="paragraph" w:customStyle="1" w:styleId="61">
    <w:name w:val="迪南自动报告正文"/>
    <w:basedOn w:val="1"/>
    <w:qFormat/>
    <w:uiPriority w:val="0"/>
    <w:pPr>
      <w:spacing w:line="400" w:lineRule="exact"/>
      <w:ind w:firstLine="640" w:firstLineChars="200"/>
      <w:jc w:val="both"/>
    </w:pPr>
    <w:rPr>
      <w:rFonts w:ascii="Times New Roman" w:hAnsi="Times New Roman"/>
    </w:rPr>
  </w:style>
  <w:style w:type="paragraph" w:customStyle="1" w:styleId="62">
    <w:name w:val="迪南自动报告表格"/>
    <w:basedOn w:val="61"/>
    <w:qFormat/>
    <w:uiPriority w:val="0"/>
    <w:pPr>
      <w:spacing w:line="360" w:lineRule="exact"/>
      <w:ind w:firstLine="0" w:firstLineChars="0"/>
      <w:jc w:val="center"/>
    </w:pPr>
    <w:rPr>
      <w:rFonts w:ascii="Times New Roman" w:hAnsi="Times New Roman"/>
      <w:bCs/>
      <w:szCs w:val="32"/>
    </w:rPr>
  </w:style>
  <w:style w:type="paragraph" w:customStyle="1" w:styleId="63">
    <w:name w:val="迪南自动报告图片"/>
    <w:basedOn w:val="62"/>
    <w:uiPriority w:val="0"/>
    <w:pPr>
      <w:spacing w:line="240" w:lineRule="auto"/>
      <w:ind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xml.rels><?xml version="1.0" encoding="UTF-8" standalone="yes"?>
<Relationships xmlns="http://schemas.openxmlformats.org/package/2006/relationships"><Relationship Id="rId1" Type="http://schemas.microsoft.com/office/2006/relationships/activeXControlBinary" Target="activeX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8.bin"/></Relationships>
</file>

<file path=word/activeX/_rels/activeX4.xml.rels><?xml version="1.0" encoding="UTF-8" standalone="yes"?>
<Relationships xmlns="http://schemas.openxmlformats.org/package/2006/relationships"><Relationship Id="rId1" Type="http://schemas.microsoft.com/office/2006/relationships/activeXControlBinary" Target="activeX9.bin"/></Relationships>
</file>

<file path=word/activeX/_rels/activeX5.xml.rels><?xml version="1.0" encoding="UTF-8" standalone="yes"?>
<Relationships xmlns="http://schemas.openxmlformats.org/package/2006/relationships"><Relationship Id="rId1" Type="http://schemas.microsoft.com/office/2006/relationships/activeXControlBinary" Target="activeX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12.bin"/></Relationships>
</file>

<file path=word/activeX/_rels/activeX8.xml.rels><?xml version="1.0" encoding="UTF-8" standalone="yes"?>
<Relationships xmlns="http://schemas.openxmlformats.org/package/2006/relationships"><Relationship Id="rId1" Type="http://schemas.microsoft.com/office/2006/relationships/activeXControlBinary" Target="activeX3.bin"/></Relationships>
</file>

<file path=word/activeX/_rels/activeX9.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19</Pages>
  <Words>5505</Words>
  <Characters>6788</Characters>
  <Lines>77</Lines>
  <Paragraphs>21</Paragraphs>
  <TotalTime>10</TotalTime>
  <ScaleCrop>false</ScaleCrop>
  <LinksUpToDate>false</LinksUpToDate>
  <CharactersWithSpaces>6967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林迪南</cp:lastModifiedBy>
  <dcterms:modified xsi:type="dcterms:W3CDTF">2022-04-23T01:10:00Z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76F3CD96B81240A191C3BABCCF7C5E34</vt:lpwstr>
  </property>
  <property fmtid="{D5CDD505-2E9C-101B-9397-08002B2CF9AE}" pid="4" name="commondata">
    <vt:lpwstr>eyJoZGlkIjoiYzhmYzQ4MTA4M2EzY2Y1YmM0YWM4M2JlZGVlZDYzN2QifQ==</vt:lpwstr>
  </property>
</Properties>
</file>