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(1)在工况一荷载作用下，主梁最大实测弹性挠度值为2.41mm，实测控制截面的挠度值均小于理论值，校验系数在0.76～0.89之间；相对残余变形在0.00%～4.74%之间。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(2)在工况二荷载作用下，主梁最大实测弹性挠度值为2.11mm，实测控制截面的挠度值均小于理论值，校验系数在0.60～0.88之间；相对残余变形在0.00%～17.95%之间。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(3)在工况三荷载作用下，主梁最大实测弹性挠度值为2.11mm，实测控制截面的挠度值均小于理论值，校验系数在0.64～0.81之间；相对残余变形在4.95%～8.47%之间。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t>(1)在工况一荷载作用下，所测主梁A-A截面最大弹性应变为46με，实测控制截面的混凝土应变值均小于理论值，校验系数在0.63～0.80之间；相对残余应变在0.00%～9.80%之间。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(2)在工况一荷载作用下，所测主梁B-B截面最大弹性应变为0με，实测控制截面的混凝土应变值均小于理论值，校验系数在0.00～0.43之间；相对残余应变在0.00%～16.67%之间。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(3)在工况二荷载作用下，所测主梁最大弹性应变为43με，实测控制截面的混凝土应变值均小于理论值，校验系数在0.34～0.69之间；相对残余应变在0.00%～8.51%之间。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_Toc31895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_Toc31895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_Toc4697 </w:instrText>
      </w:r>
      <w:r>
        <w:fldChar w:fldCharType="separate"/>
      </w:r>
      <w:r>
        <w:rPr>
          <w:rFonts w:hint="eastAsia" w:ascii="楷体_GB2312" w:hAnsi="楷体_GB2312" w:eastAsia="楷体_GB2312"/>
          <w:szCs w:val="24"/>
        </w:rPr>
        <w:t>1.1 工程概况</w:t>
      </w:r>
      <w:r>
        <w:tab/>
      </w:r>
      <w:r>
        <w:fldChar w:fldCharType="begin"/>
      </w:r>
      <w:r>
        <w:instrText xml:space="preserve"> PAGEREF _Toc4697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_Toc8211 </w:instrText>
      </w:r>
      <w:r>
        <w:fldChar w:fldCharType="separate"/>
      </w:r>
      <w:r>
        <w:rPr>
          <w:rFonts w:hint="eastAsia" w:ascii="楷体_GB2312" w:hAnsi="楷体_GB2312" w:eastAsia="楷体_GB2312"/>
          <w:szCs w:val="24"/>
        </w:rPr>
        <w:t>1.2 主要检测仪器</w:t>
      </w:r>
      <w:r>
        <w:tab/>
      </w:r>
      <w:r>
        <w:fldChar w:fldCharType="begin"/>
      </w:r>
      <w:r>
        <w:instrText xml:space="preserve"> PAGEREF _Toc8211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_Toc29270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_Toc29270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_Toc4072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_Toc4072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_Toc9745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_Toc9745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_Toc21283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_Toc21283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_Toc2234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_Toc2234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_Toc20290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_Toc20290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_Toc11444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_Toc11444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_Toc3187 </w:instrText>
      </w:r>
      <w:r>
        <w:fldChar w:fldCharType="separate"/>
      </w:r>
      <w:r>
        <w:rPr>
          <w:rFonts w:hint="eastAsia" w:ascii="楷体_GB2312" w:eastAsia="楷体_GB2312"/>
          <w:kern w:val="0"/>
          <w:szCs w:val="24"/>
        </w:rPr>
        <w:t>第3章 桥梁静载试验</w:t>
      </w:r>
      <w:r>
        <w:tab/>
      </w:r>
      <w:r>
        <w:fldChar w:fldCharType="begin"/>
      </w:r>
      <w:r>
        <w:instrText xml:space="preserve"> PAGEREF _Toc3187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_Toc9063 </w:instrText>
      </w:r>
      <w:r>
        <w:fldChar w:fldCharType="separate"/>
      </w:r>
      <w:r>
        <w:rPr>
          <w:rFonts w:hint="eastAsia" w:ascii="楷体_GB2312" w:hAnsi="楷体_GB2312" w:eastAsia="楷体_GB2312"/>
          <w:szCs w:val="24"/>
        </w:rPr>
        <w:t>3.1 静载试验概况</w:t>
      </w:r>
      <w:r>
        <w:tab/>
      </w:r>
      <w:r>
        <w:fldChar w:fldCharType="begin"/>
      </w:r>
      <w:r>
        <w:instrText xml:space="preserve"> PAGEREF _Toc9063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_Toc8358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_Toc8358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_Toc29828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_Toc29828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_Toc8261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_Toc8261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_Toc18533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_Toc18533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_Toc10637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_Toc10637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_Toc9840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_Toc9840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_Toc2017 </w:instrText>
      </w:r>
      <w:r>
        <w:fldChar w:fldCharType="separate"/>
      </w:r>
      <w:r>
        <w:rPr>
          <w:rFonts w:hint="eastAsia" w:ascii="楷体_GB2312" w:eastAsia="楷体_GB2312"/>
          <w:kern w:val="0"/>
          <w:szCs w:val="24"/>
        </w:rPr>
        <w:t>第4章 桥梁动载试验</w:t>
      </w:r>
      <w:r>
        <w:tab/>
      </w:r>
      <w:r>
        <w:fldChar w:fldCharType="begin"/>
      </w:r>
      <w:r>
        <w:instrText xml:space="preserve"> PAGEREF _Toc2017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_Toc28591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_Toc28591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_Toc5778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_Toc5778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_Toc16115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_Toc16115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_Toc1765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_Toc1765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_Toc25402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_Toc25402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_Toc2923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_Toc2923 </w:instrText>
      </w:r>
      <w:r>
        <w:fldChar w:fldCharType="separate"/>
      </w:r>
      <w:r>
        <w:t>19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_Toc3642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_Toc3642 </w:instrText>
      </w:r>
      <w:r>
        <w:fldChar w:fldCharType="separate"/>
      </w:r>
      <w:r>
        <w:t>22</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7780789"/>
      <w:bookmarkStart w:id="16" w:name="_Toc312074210"/>
      <w:bookmarkStart w:id="17" w:name="_Toc317777146"/>
      <w:bookmarkStart w:id="18"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31895"/>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4697"/>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1" w:name="_Ref34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1"/>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8211"/>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29270"/>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4072"/>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9745"/>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21283"/>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435103113"/>
      <w:bookmarkStart w:id="29" w:name="_Toc256000195"/>
      <w:bookmarkStart w:id="30" w:name="_Toc256000229"/>
      <w:bookmarkStart w:id="31" w:name="_Toc256000297"/>
      <w:bookmarkStart w:id="32" w:name="_Toc24849"/>
      <w:bookmarkStart w:id="33" w:name="_Toc436324216"/>
      <w:bookmarkStart w:id="34" w:name="_Toc256000025"/>
      <w:bookmarkStart w:id="35" w:name="_Toc256000161"/>
      <w:bookmarkStart w:id="36" w:name="_Toc256000076"/>
      <w:bookmarkStart w:id="37" w:name="_Toc256000212"/>
      <w:bookmarkStart w:id="38" w:name="_Toc256000263"/>
      <w:bookmarkStart w:id="39" w:name="_Toc3938"/>
      <w:bookmarkStart w:id="40" w:name="_Toc256000008"/>
      <w:bookmarkStart w:id="41" w:name="_Toc256000314"/>
      <w:bookmarkStart w:id="42" w:name="_Toc256000110"/>
      <w:bookmarkStart w:id="43" w:name="_Toc256000280"/>
      <w:bookmarkStart w:id="44" w:name="_Toc256000246"/>
      <w:bookmarkStart w:id="45" w:name="_Toc256000093"/>
      <w:bookmarkStart w:id="46" w:name="_Toc256000042"/>
      <w:bookmarkStart w:id="47" w:name="_Toc23226"/>
      <w:bookmarkStart w:id="48" w:name="_Toc490813827"/>
      <w:bookmarkStart w:id="49" w:name="_Toc256000178"/>
      <w:bookmarkStart w:id="50" w:name="_Toc256000331"/>
      <w:bookmarkStart w:id="51" w:name="_Toc256000059"/>
      <w:bookmarkStart w:id="52" w:name="_Toc256000127"/>
      <w:bookmarkStart w:id="53" w:name="_Toc2234"/>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56000111"/>
      <w:bookmarkStart w:id="55" w:name="_Toc16706"/>
      <w:bookmarkStart w:id="56" w:name="_Toc256000196"/>
      <w:bookmarkStart w:id="57" w:name="_Toc256000009"/>
      <w:bookmarkStart w:id="58" w:name="_Toc256000298"/>
      <w:bookmarkStart w:id="59" w:name="_Toc5239"/>
      <w:bookmarkStart w:id="60" w:name="_Toc256000043"/>
      <w:bookmarkStart w:id="61" w:name="_Toc256000230"/>
      <w:bookmarkStart w:id="62" w:name="_Toc256000145"/>
      <w:bookmarkStart w:id="63" w:name="_Toc256000281"/>
      <w:bookmarkStart w:id="64" w:name="_Toc256000247"/>
      <w:bookmarkStart w:id="65" w:name="_Toc256000315"/>
      <w:bookmarkStart w:id="66" w:name="_Toc6098"/>
      <w:bookmarkStart w:id="67" w:name="_Toc256000162"/>
      <w:bookmarkStart w:id="68" w:name="_Toc256000332"/>
      <w:bookmarkStart w:id="69" w:name="_Toc256000060"/>
      <w:bookmarkStart w:id="70" w:name="_Toc256000094"/>
      <w:bookmarkStart w:id="71" w:name="_Toc256000213"/>
      <w:bookmarkStart w:id="72" w:name="_Toc256000179"/>
      <w:bookmarkStart w:id="73" w:name="_Toc256000264"/>
      <w:bookmarkStart w:id="74" w:name="_Toc256000128"/>
      <w:bookmarkStart w:id="75" w:name="_Toc256000026"/>
      <w:bookmarkStart w:id="76" w:name="_Toc256000077"/>
      <w:bookmarkStart w:id="77" w:name="_Toc20290"/>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63"/>
      <w:bookmarkStart w:id="79" w:name="_Toc256000146"/>
      <w:bookmarkStart w:id="80" w:name="_Toc256000129"/>
      <w:bookmarkStart w:id="81" w:name="_Toc256000316"/>
      <w:bookmarkStart w:id="82" w:name="_Toc256000197"/>
      <w:bookmarkStart w:id="83" w:name="_Toc256000299"/>
      <w:bookmarkStart w:id="84" w:name="_Toc256000231"/>
      <w:bookmarkStart w:id="85" w:name="_Toc256000265"/>
      <w:bookmarkStart w:id="86" w:name="_Toc256000214"/>
      <w:bookmarkStart w:id="87" w:name="_Toc256000078"/>
      <w:bookmarkStart w:id="88" w:name="_Toc256000333"/>
      <w:bookmarkStart w:id="89" w:name="_Toc2961"/>
      <w:bookmarkStart w:id="90" w:name="_Toc256000180"/>
      <w:bookmarkStart w:id="91" w:name="_Toc256000095"/>
      <w:bookmarkStart w:id="92" w:name="_Toc256000248"/>
      <w:bookmarkStart w:id="93" w:name="_Toc9121"/>
      <w:bookmarkStart w:id="94" w:name="_Toc256000282"/>
      <w:bookmarkStart w:id="95" w:name="_Toc25482"/>
      <w:bookmarkStart w:id="96" w:name="_Toc256000044"/>
      <w:bookmarkStart w:id="97" w:name="_Toc490813829"/>
      <w:bookmarkStart w:id="98" w:name="_Toc256000061"/>
      <w:bookmarkStart w:id="99" w:name="_Toc256000010"/>
      <w:bookmarkStart w:id="100" w:name="_Toc256000112"/>
      <w:bookmarkStart w:id="101" w:name="_Toc11444"/>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3187"/>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9063"/>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19741"/>
      <w:bookmarkStart w:id="105" w:name="_Toc31858"/>
      <w:bookmarkStart w:id="106" w:name="_Toc470253994"/>
      <w:bookmarkStart w:id="107" w:name="_Toc398305882"/>
      <w:bookmarkStart w:id="108" w:name="_Toc398541186"/>
      <w:bookmarkStart w:id="109" w:name="_Toc399658317"/>
      <w:bookmarkStart w:id="110" w:name="_Toc399150332"/>
      <w:bookmarkStart w:id="111" w:name="_Toc14043"/>
      <w:bookmarkStart w:id="112" w:name="_Toc12599"/>
      <w:bookmarkStart w:id="113" w:name="_Toc394613369"/>
      <w:bookmarkStart w:id="114" w:name="_Toc17248"/>
      <w:bookmarkStart w:id="115" w:name="_Toc399517690"/>
      <w:bookmarkStart w:id="116" w:name="_Toc8358"/>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470253995"/>
      <w:bookmarkStart w:id="119" w:name="_Toc16323"/>
      <w:bookmarkStart w:id="120" w:name="_Toc399658318"/>
      <w:bookmarkStart w:id="121" w:name="_Toc399150333"/>
      <w:bookmarkStart w:id="122" w:name="_Toc399517691"/>
      <w:bookmarkStart w:id="123" w:name="_Toc21954"/>
      <w:bookmarkStart w:id="124" w:name="_Toc29612"/>
      <w:bookmarkStart w:id="125" w:name="_Toc13361"/>
      <w:bookmarkStart w:id="126" w:name="_Toc23349"/>
      <w:bookmarkStart w:id="127" w:name="_Toc29828"/>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bookmarkEnd w:id="127"/>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8"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9"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0" w:name="_Ref292270072"/>
      <w:r>
        <w:rPr>
          <w:rFonts w:hint="eastAsia" w:ascii="楷体_GB2312" w:hAnsi="Times New Roman" w:eastAsia="楷体_GB2312" w:cs="Times New Roman"/>
          <w:b/>
          <w:bCs/>
          <w:sz w:val="24"/>
          <w:szCs w:val="24"/>
        </w:rPr>
        <w:t>表</w:t>
      </w:r>
      <w:bookmarkEnd w:id="130"/>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8"/>
    <w:bookmarkEnd w:id="129"/>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1" w:name="_Ref353538765"/>
      <w:r>
        <w:rPr>
          <w:rFonts w:hint="eastAsia" w:ascii="楷体_GB2312" w:hAnsi="宋体" w:eastAsia="楷体_GB2312"/>
          <w:sz w:val="24"/>
          <w:szCs w:val="24"/>
        </w:rPr>
        <w:t>图</w:t>
      </w:r>
      <w:bookmarkEnd w:id="131"/>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2" w:name="_Toc394613371"/>
      <w:bookmarkStart w:id="133" w:name="_Toc10717"/>
      <w:bookmarkStart w:id="134" w:name="_Toc20568"/>
      <w:bookmarkStart w:id="135" w:name="_Toc6169"/>
      <w:bookmarkStart w:id="136" w:name="_Toc7673"/>
      <w:bookmarkStart w:id="137" w:name="_Toc1638"/>
      <w:bookmarkStart w:id="138" w:name="_Toc399517692"/>
      <w:bookmarkStart w:id="139" w:name="_Toc399150334"/>
      <w:bookmarkStart w:id="140" w:name="_Toc399658319"/>
      <w:bookmarkStart w:id="141" w:name="_Toc470253996"/>
      <w:bookmarkStart w:id="142" w:name="_Toc398305884"/>
      <w:bookmarkStart w:id="143" w:name="_Toc398541188"/>
      <w:bookmarkStart w:id="144" w:name="_Toc8261"/>
      <w:r>
        <w:rPr>
          <w:rFonts w:hint="eastAsia" w:ascii="楷体_GB2312" w:eastAsia="楷体_GB2312"/>
          <w:b/>
          <w:sz w:val="24"/>
          <w:lang w:val="en-US" w:eastAsia="zh-CN"/>
        </w:rPr>
        <w:t>3</w:t>
      </w:r>
      <w:r>
        <w:rPr>
          <w:rFonts w:hint="eastAsia" w:ascii="楷体_GB2312" w:eastAsia="楷体_GB2312"/>
          <w:b/>
          <w:sz w:val="24"/>
        </w:rPr>
        <w:t>.1.3 测点布置</w:t>
      </w:r>
      <w:bookmarkEnd w:id="132"/>
      <w:bookmarkEnd w:id="133"/>
      <w:bookmarkEnd w:id="134"/>
      <w:bookmarkEnd w:id="135"/>
      <w:bookmarkEnd w:id="136"/>
      <w:bookmarkEnd w:id="137"/>
      <w:bookmarkEnd w:id="138"/>
      <w:bookmarkEnd w:id="139"/>
      <w:bookmarkEnd w:id="140"/>
      <w:bookmarkEnd w:id="141"/>
      <w:bookmarkEnd w:id="142"/>
      <w:bookmarkEnd w:id="143"/>
      <w:bookmarkEnd w:id="144"/>
    </w:p>
    <w:p>
      <w:pPr>
        <w:spacing w:line="400" w:lineRule="exact"/>
        <w:ind w:firstLine="480" w:firstLineChars="200"/>
        <w:rPr>
          <w:rFonts w:hint="eastAsia" w:ascii="楷体_GB2312" w:eastAsia="楷体_GB2312"/>
          <w:sz w:val="24"/>
        </w:rPr>
      </w:pPr>
      <w:bookmarkStart w:id="145" w:name="_Toc277773927"/>
      <w:r>
        <w:rPr>
          <w:rFonts w:hint="eastAsia" w:ascii="楷体_GB2312" w:eastAsia="楷体_GB2312"/>
          <w:sz w:val="24"/>
        </w:rPr>
        <w:t>(1)挠度测点</w:t>
      </w:r>
      <w:bookmarkEnd w:id="145"/>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6" w:name="_Toc399150335"/>
      <w:bookmarkStart w:id="147" w:name="_Toc399517693"/>
      <w:bookmarkStart w:id="148" w:name="_Toc399658320"/>
      <w:bookmarkStart w:id="149" w:name="_Toc851"/>
      <w:bookmarkStart w:id="150" w:name="_Toc1291"/>
      <w:bookmarkStart w:id="151" w:name="_Toc31615"/>
      <w:bookmarkStart w:id="152" w:name="_Toc470253997"/>
      <w:bookmarkStart w:id="153" w:name="_Toc14538"/>
      <w:bookmarkStart w:id="154" w:name="_Toc26545"/>
      <w:bookmarkStart w:id="155" w:name="_Toc18533"/>
      <w:r>
        <w:rPr>
          <w:rFonts w:hint="eastAsia" w:ascii="楷体_GB2312" w:eastAsia="楷体_GB2312"/>
          <w:b/>
          <w:sz w:val="24"/>
          <w:lang w:val="en-US" w:eastAsia="zh-CN"/>
        </w:rPr>
        <w:t>3</w:t>
      </w:r>
      <w:r>
        <w:rPr>
          <w:rFonts w:hint="eastAsia" w:ascii="楷体_GB2312" w:eastAsia="楷体_GB2312"/>
          <w:b/>
          <w:sz w:val="24"/>
        </w:rPr>
        <w:t>.1.4 加载</w:t>
      </w:r>
      <w:bookmarkEnd w:id="146"/>
      <w:bookmarkEnd w:id="147"/>
      <w:bookmarkEnd w:id="148"/>
      <w:r>
        <w:rPr>
          <w:rFonts w:hint="eastAsia" w:ascii="楷体_GB2312" w:eastAsia="楷体_GB2312"/>
          <w:b/>
          <w:sz w:val="24"/>
        </w:rPr>
        <w:t>过程</w:t>
      </w:r>
      <w:bookmarkEnd w:id="149"/>
      <w:bookmarkEnd w:id="150"/>
      <w:bookmarkEnd w:id="151"/>
      <w:bookmarkEnd w:id="152"/>
      <w:bookmarkEnd w:id="153"/>
      <w:bookmarkEnd w:id="154"/>
      <w:bookmarkEnd w:id="155"/>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6" w:name="_Toc10637"/>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6"/>
    </w:p>
    <w:p>
      <w:pPr>
        <w:spacing w:line="400" w:lineRule="exact"/>
        <w:outlineLvl w:val="2"/>
        <w:rPr>
          <w:rFonts w:hint="eastAsia" w:ascii="楷体_GB2312" w:eastAsia="楷体_GB2312"/>
          <w:b/>
          <w:sz w:val="24"/>
        </w:rPr>
      </w:pPr>
      <w:bookmarkStart w:id="157" w:name="_Toc5805"/>
      <w:bookmarkStart w:id="158" w:name="_Toc22485"/>
      <w:bookmarkStart w:id="159" w:name="_Toc7901"/>
      <w:bookmarkStart w:id="160" w:name="_Toc30591"/>
      <w:bookmarkStart w:id="161" w:name="_Toc9840"/>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7"/>
      <w:bookmarkEnd w:id="158"/>
      <w:bookmarkEnd w:id="159"/>
      <w:bookmarkEnd w:id="160"/>
      <w:bookmarkEnd w:id="161"/>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62" w:name="ReportStart"/>
      <w:bookmarkEnd w:id="162"/>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_Ref7405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_Ref17152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。检测结果表明，所测主梁的挠度校验系数在0.76～0.89之间，相对残余变形在0.00%～4.74%之间。</w:t>
      </w:r>
    </w:p>
    <w:p>
      <w:pPr>
        <w:pStyle w:val="15"/>
        <w:snapToGrid w:val="0"/>
        <w:spacing w:line="400" w:lineRule="exact"/>
        <w:ind w:firstLine="0" w:firstLineChars="0"/>
        <w:jc w:val="center"/>
        <w:rPr>
          <w:rFonts w:hint="eastAsia" w:cs="Times New Roman"/>
          <w:color w:val="auto"/>
          <w:sz w:val="24"/>
          <w:lang w:eastAsia="zh-CN"/>
        </w:rPr>
      </w:pPr>
      <w:bookmarkStart w:id="163" w:name="_Ref740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3"/>
      <w:r>
        <w:rPr>
          <w:rFonts w:hint="eastAsia" w:cs="Times New Roman"/>
          <w:color w:val="auto"/>
          <w:sz w:val="24"/>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2.41</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0.12</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4.74%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400" w:lineRule="exact"/>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29"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4" w:name="_Ref1715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4"/>
      <w:r>
        <w:rPr>
          <w:rFonts w:hint="eastAsia" w:cs="Times New Roman"/>
          <w:color w:val="auto"/>
          <w:sz w:val="24"/>
          <w:lang w:eastAsia="zh-CN"/>
        </w:rPr>
        <w:t xml:space="preserve"> 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工况一主梁A-A截面测点应变检测结果详见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_Ref1410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_Ref15202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。检测结果表明，所测主梁的应变校验系数在0.63～0.80之间，相对残余应变在0.00%～9.80%之间。</w:t>
      </w:r>
    </w:p>
    <w:p>
      <w:pPr>
        <w:pStyle w:val="15"/>
        <w:snapToGrid w:val="0"/>
        <w:spacing w:line="240" w:lineRule="auto"/>
        <w:ind w:firstLine="0" w:firstLineChars="0"/>
        <w:jc w:val="center"/>
        <w:rPr>
          <w:rFonts w:hint="eastAsia" w:cs="Times New Roman"/>
          <w:color w:val="auto"/>
          <w:sz w:val="24"/>
          <w:lang w:eastAsia="zh-CN"/>
        </w:rPr>
      </w:pPr>
      <w:bookmarkStart w:id="165" w:name="_Ref141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5"/>
      <w:r>
        <w:rPr>
          <w:rFonts w:hint="eastAsia" w:cs="Times New Roman"/>
          <w:color w:val="auto"/>
          <w:sz w:val="24"/>
          <w:lang w:eastAsia="zh-CN"/>
        </w:rPr>
        <w:t xml:space="preserve"> 工况一A-A截面应变检测结果汇总表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9.80%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2"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6" w:name="_Ref1520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6"/>
      <w:r>
        <w:rPr>
          <w:rFonts w:hint="eastAsia" w:cs="Times New Roman"/>
          <w:color w:val="auto"/>
          <w:sz w:val="24"/>
          <w:lang w:eastAsia="zh-CN"/>
        </w:rPr>
        <w:t xml:space="preserve"> 工况一A-A截面应变实测值与理论计算值的关系曲线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工况一主梁B-B截面测点应变检测结果详见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_Ref31821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_Ref12183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。检测结果表明，所测主梁的应变校验系数在0.00～0.43之间，相对残余应变在0.00%～16.67%之间。</w:t>
      </w:r>
    </w:p>
    <w:p>
      <w:pPr>
        <w:pStyle w:val="15"/>
        <w:snapToGrid w:val="0"/>
        <w:spacing w:line="240" w:lineRule="auto"/>
        <w:ind w:firstLine="0" w:firstLineChars="0"/>
        <w:jc w:val="center"/>
        <w:rPr>
          <w:rFonts w:hint="eastAsia" w:cs="Times New Roman"/>
          <w:color w:val="auto"/>
          <w:sz w:val="24"/>
          <w:lang w:eastAsia="zh-CN"/>
        </w:rPr>
      </w:pPr>
      <w:bookmarkStart w:id="167" w:name="_Ref31821"/>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7"/>
      <w:r>
        <w:rPr>
          <w:rFonts w:hint="eastAsia" w:cs="Times New Roman"/>
          <w:color w:val="auto"/>
          <w:sz w:val="24"/>
          <w:lang w:eastAsia="zh-CN"/>
        </w:rPr>
        <w:t xml:space="preserve"> 工况一B-B截面应变检测结果汇总表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7.69%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14.29%</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3"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8" w:name="_Ref1218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8"/>
      <w:r>
        <w:rPr>
          <w:rFonts w:hint="eastAsia" w:cs="Times New Roman"/>
          <w:color w:val="auto"/>
          <w:sz w:val="24"/>
          <w:lang w:eastAsia="zh-CN"/>
        </w:rPr>
        <w:t xml:space="preserve"> 工况一B-B截面应变实测值与理论计算值的关系曲线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_Ref31726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_Ref27876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。检测结果表明，所测主梁的挠度校验系数在0.60～0.88之间，相对残余变形在0.00%～17.95%之间。</w:t>
      </w:r>
    </w:p>
    <w:p>
      <w:pPr>
        <w:pStyle w:val="15"/>
        <w:snapToGrid w:val="0"/>
        <w:spacing w:line="240" w:lineRule="auto"/>
        <w:ind w:firstLine="0" w:firstLineChars="0"/>
        <w:jc w:val="center"/>
        <w:rPr>
          <w:rFonts w:hint="eastAsia" w:cs="Times New Roman"/>
          <w:color w:val="auto"/>
          <w:sz w:val="24"/>
          <w:lang w:eastAsia="zh-CN"/>
        </w:rPr>
      </w:pPr>
      <w:bookmarkStart w:id="169" w:name="_Ref3172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9"/>
      <w:r>
        <w:rPr>
          <w:rFonts w:hint="eastAsia" w:cs="Times New Roman"/>
          <w:color w:val="auto"/>
          <w:sz w:val="24"/>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0"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0" w:name="_Ref27876"/>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0"/>
      <w:r>
        <w:rPr>
          <w:rFonts w:hint="eastAsia" w:cs="Times New Roman"/>
          <w:color w:val="auto"/>
          <w:sz w:val="24"/>
          <w:lang w:eastAsia="zh-CN"/>
        </w:rPr>
        <w:t xml:space="preserve"> 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_Ref6787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_Ref7409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bookmarkStart w:id="223" w:name="_GoBack"/>
      <w:bookmarkEnd w:id="223"/>
      <w:r>
        <w:rPr>
          <w:rFonts w:hint="eastAsia" w:cs="Times New Roman"/>
          <w:color w:val="auto"/>
          <w:sz w:val="24"/>
          <w:lang w:eastAsia="zh-CN"/>
        </w:rPr>
        <w:t>。检测结果表明，所测主梁的应变校验系数在0.34～0.69之间，相对残余应变在0.00%～8.51%之间。</w:t>
      </w:r>
    </w:p>
    <w:p>
      <w:pPr>
        <w:pStyle w:val="15"/>
        <w:snapToGrid w:val="0"/>
        <w:spacing w:line="240" w:lineRule="auto"/>
        <w:ind w:firstLine="0" w:firstLineChars="0"/>
        <w:jc w:val="center"/>
        <w:rPr>
          <w:rFonts w:hint="eastAsia" w:cs="Times New Roman"/>
          <w:color w:val="auto"/>
          <w:sz w:val="24"/>
          <w:lang w:eastAsia="zh-CN"/>
        </w:rPr>
      </w:pPr>
      <w:bookmarkStart w:id="171" w:name="_Ref6787"/>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bookmarkEnd w:id="171"/>
      <w:r>
        <w:rPr>
          <w:rFonts w:hint="eastAsia" w:cs="Times New Roman"/>
          <w:color w:val="auto"/>
          <w:sz w:val="24"/>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8.51%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8.11%</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4"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2" w:name="_Ref7409"/>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172"/>
      <w:r>
        <w:rPr>
          <w:rFonts w:hint="eastAsia" w:cs="Times New Roman"/>
          <w:color w:val="auto"/>
          <w:sz w:val="24"/>
          <w:lang w:eastAsia="zh-CN"/>
        </w:rPr>
        <w:t xml:space="preserve"> 工况二应变实测值与理论计算值的关系曲线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工况三主梁挠度检测结果详见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_Ref12084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_Ref12126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。检测结果表明，所测主梁的挠度校验系数在0.64～0.81之间，相对残余变形在4.95%～8.47%之间。</w:t>
      </w:r>
    </w:p>
    <w:p>
      <w:pPr>
        <w:pStyle w:val="15"/>
        <w:snapToGrid w:val="0"/>
        <w:spacing w:line="240" w:lineRule="auto"/>
        <w:ind w:firstLine="0" w:firstLineChars="0"/>
        <w:jc w:val="center"/>
        <w:rPr>
          <w:rFonts w:hint="eastAsia" w:cs="Times New Roman"/>
          <w:color w:val="auto"/>
          <w:sz w:val="24"/>
          <w:lang w:eastAsia="zh-CN"/>
        </w:rPr>
      </w:pPr>
      <w:bookmarkStart w:id="173" w:name="_Ref12084"/>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bookmarkEnd w:id="173"/>
      <w:r>
        <w:rPr>
          <w:rFonts w:hint="eastAsia" w:cs="Times New Roman"/>
          <w:color w:val="auto"/>
          <w:sz w:val="24"/>
          <w:lang w:eastAsia="zh-CN"/>
        </w:rPr>
        <w:t xml:space="preserve"> 工况三挠度检测结果汇总表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1"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4" w:name="_Ref12126"/>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174"/>
      <w:r>
        <w:rPr>
          <w:rFonts w:hint="eastAsia" w:cs="Times New Roman"/>
          <w:color w:val="auto"/>
          <w:sz w:val="24"/>
          <w:lang w:eastAsia="zh-CN"/>
        </w:rPr>
        <w:t xml:space="preserve"> 工况三挠度实测值与理论计算值的关系曲线</w:t>
      </w:r>
    </w:p>
    <w:p>
      <w:pPr>
        <w:snapToGrid w:val="0"/>
        <w:spacing w:line="240" w:lineRule="auto"/>
        <w:ind w:firstLine="0" w:firstLineChars="0"/>
        <w:jc w:val="center"/>
        <w:rPr>
          <w:rFonts w:hint="eastAsia" w:cs="Times New Roman"/>
          <w:color w:val="auto"/>
          <w:sz w:val="24"/>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5" w:name="_Toc428612478"/>
      <w:r>
        <w:rPr>
          <w:rFonts w:hint="eastAsia" w:ascii="楷体_GB2312" w:eastAsia="楷体_GB2312"/>
          <w:sz w:val="24"/>
        </w:rPr>
        <w:t>试验过程中，桥梁各部件工作状况未见明显异常。</w:t>
      </w:r>
    </w:p>
    <w:bookmarkEnd w:id="175"/>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6" w:name="_Toc2017"/>
      <w:r>
        <w:rPr>
          <w:rFonts w:hint="eastAsia" w:ascii="楷体_GB2312" w:eastAsia="楷体_GB2312"/>
          <w:kern w:val="0"/>
          <w:sz w:val="24"/>
          <w:szCs w:val="24"/>
        </w:rPr>
        <w:t>桥梁动载试验</w:t>
      </w:r>
      <w:bookmarkEnd w:id="176"/>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7" w:name="_Toc285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7"/>
    </w:p>
    <w:p>
      <w:pPr>
        <w:spacing w:line="420" w:lineRule="exact"/>
        <w:outlineLvl w:val="2"/>
        <w:rPr>
          <w:rFonts w:hint="eastAsia" w:ascii="楷体_GB2312" w:eastAsia="楷体_GB2312"/>
          <w:b/>
          <w:sz w:val="24"/>
        </w:rPr>
      </w:pPr>
      <w:bookmarkStart w:id="178" w:name="_Toc4862"/>
      <w:bookmarkStart w:id="179" w:name="_Toc470254002"/>
      <w:bookmarkStart w:id="180" w:name="_Toc3632"/>
      <w:bookmarkStart w:id="181" w:name="_Toc13414"/>
      <w:bookmarkStart w:id="182" w:name="_Toc20151"/>
      <w:bookmarkStart w:id="183" w:name="_Toc15999"/>
      <w:bookmarkStart w:id="184" w:name="_Toc5778"/>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8"/>
      <w:bookmarkEnd w:id="179"/>
      <w:bookmarkEnd w:id="180"/>
      <w:bookmarkEnd w:id="181"/>
      <w:bookmarkEnd w:id="182"/>
      <w:bookmarkEnd w:id="183"/>
      <w:bookmarkEnd w:id="184"/>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2"/>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5" w:name="_Toc27192"/>
      <w:bookmarkStart w:id="186" w:name="_Toc31067"/>
      <w:bookmarkStart w:id="187" w:name="_Toc470254003"/>
      <w:bookmarkStart w:id="188" w:name="_Toc26839"/>
      <w:bookmarkStart w:id="189" w:name="_Toc10124"/>
      <w:bookmarkStart w:id="190" w:name="_Toc15313"/>
      <w:bookmarkStart w:id="191" w:name="_Toc16115"/>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5"/>
      <w:bookmarkEnd w:id="186"/>
      <w:bookmarkEnd w:id="187"/>
      <w:bookmarkEnd w:id="188"/>
      <w:bookmarkEnd w:id="189"/>
      <w:bookmarkEnd w:id="190"/>
      <w:bookmarkEnd w:id="191"/>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3"/>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4"/>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2" w:name="_Toc1765"/>
      <w:r>
        <w:rPr>
          <w:rFonts w:hint="eastAsia" w:ascii="楷体_GB2312" w:hAnsi="楷体_GB2312" w:eastAsia="楷体_GB2312"/>
          <w:sz w:val="24"/>
          <w:szCs w:val="24"/>
        </w:rPr>
        <w:t>跑车</w:t>
      </w:r>
      <w:r>
        <w:rPr>
          <w:rFonts w:ascii="楷体_GB2312" w:hAnsi="楷体_GB2312" w:eastAsia="楷体_GB2312"/>
          <w:sz w:val="24"/>
          <w:szCs w:val="24"/>
        </w:rPr>
        <w:t>试验</w:t>
      </w:r>
      <w:bookmarkEnd w:id="192"/>
    </w:p>
    <w:p>
      <w:pPr>
        <w:spacing w:line="420" w:lineRule="exact"/>
        <w:outlineLvl w:val="2"/>
        <w:rPr>
          <w:rFonts w:ascii="楷体_GB2312" w:eastAsia="楷体_GB2312"/>
          <w:b/>
          <w:sz w:val="24"/>
        </w:rPr>
      </w:pPr>
      <w:bookmarkStart w:id="193" w:name="_Toc441501458"/>
      <w:bookmarkStart w:id="194" w:name="_Toc470254005"/>
      <w:bookmarkStart w:id="195" w:name="_Toc25568"/>
      <w:bookmarkStart w:id="196" w:name="_Toc19248"/>
      <w:bookmarkStart w:id="197" w:name="_Toc23758"/>
      <w:bookmarkStart w:id="198" w:name="_Toc25528"/>
      <w:bookmarkStart w:id="199" w:name="_Toc24133"/>
      <w:bookmarkStart w:id="200" w:name="_Toc25402"/>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3"/>
      <w:bookmarkEnd w:id="194"/>
      <w:bookmarkEnd w:id="195"/>
      <w:bookmarkEnd w:id="196"/>
      <w:bookmarkEnd w:id="197"/>
      <w:bookmarkEnd w:id="198"/>
      <w:bookmarkEnd w:id="199"/>
      <w:bookmarkEnd w:id="200"/>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5"/>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201" w:name="_Toc2599"/>
      <w:bookmarkStart w:id="202" w:name="_Toc17104"/>
      <w:bookmarkStart w:id="203" w:name="_Toc8944"/>
      <w:bookmarkStart w:id="204" w:name="_Toc22607"/>
      <w:bookmarkStart w:id="205" w:name="_Toc441501459"/>
      <w:bookmarkStart w:id="206" w:name="_Toc470254006"/>
      <w:bookmarkStart w:id="207" w:name="_Toc31600"/>
      <w:bookmarkStart w:id="208" w:name="_Toc2923"/>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201"/>
      <w:bookmarkEnd w:id="202"/>
      <w:bookmarkEnd w:id="203"/>
      <w:bookmarkEnd w:id="204"/>
      <w:bookmarkEnd w:id="205"/>
      <w:bookmarkEnd w:id="206"/>
      <w:bookmarkEnd w:id="207"/>
      <w:bookmarkEnd w:id="208"/>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6"/>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7"/>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8"/>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9"/>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0"/>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1"/>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9" w:name="_Toc256000040"/>
      <w:bookmarkStart w:id="210" w:name="_Toc11255"/>
      <w:bookmarkStart w:id="211" w:name="_Toc256000027"/>
      <w:bookmarkStart w:id="212" w:name="_Toc256000092"/>
      <w:bookmarkStart w:id="213" w:name="_Toc256000053"/>
      <w:bookmarkStart w:id="214" w:name="_Toc256000079"/>
      <w:bookmarkStart w:id="215" w:name="_Toc256000105"/>
      <w:bookmarkStart w:id="216" w:name="_Toc26195"/>
      <w:bookmarkStart w:id="217" w:name="_Toc256000014"/>
      <w:bookmarkStart w:id="218" w:name="_Toc256000066"/>
      <w:bookmarkStart w:id="219" w:name="_Toc256000144"/>
      <w:bookmarkStart w:id="220" w:name="_Toc256000118"/>
      <w:bookmarkStart w:id="221" w:name="_Toc256000131"/>
      <w:bookmarkStart w:id="222" w:name="_Toc3642"/>
      <w:r>
        <w:rPr>
          <w:rStyle w:val="49"/>
          <w:rFonts w:hint="eastAsia" w:ascii="楷体_GB2312" w:hAnsi="楷体_GB2312" w:eastAsia="楷体_GB2312" w:cs="楷体_GB2312"/>
          <w:sz w:val="24"/>
          <w:szCs w:val="24"/>
          <w:lang w:val="en-US" w:eastAsia="zh-CN"/>
        </w:rPr>
        <w:t>附件  现场检测照片</w:t>
      </w:r>
      <w:bookmarkEnd w:id="209"/>
      <w:bookmarkEnd w:id="210"/>
      <w:bookmarkEnd w:id="211"/>
      <w:bookmarkEnd w:id="212"/>
      <w:bookmarkEnd w:id="213"/>
      <w:bookmarkEnd w:id="214"/>
      <w:bookmarkEnd w:id="215"/>
      <w:bookmarkEnd w:id="216"/>
      <w:bookmarkEnd w:id="217"/>
      <w:bookmarkEnd w:id="218"/>
      <w:bookmarkEnd w:id="219"/>
      <w:bookmarkEnd w:id="220"/>
      <w:bookmarkEnd w:id="221"/>
    </w:p>
    <w:bookmarkEnd w:id="222"/>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ChartTitle3" w:val="工况三挠度实测值与理论计算值的关系曲线"/>
    <w:docVar w:name="dispResult1" w:val="(1)在工况一荷载作用下，主梁最大实测弹性挠度值为2.41mm，实测控制截面的挠度值均小于理论值，校验系数在0.76～0.89之间；相对残余变形在0.00%～4.74%之间。"/>
    <w:docVar w:name="dispResult2" w:val="(2)在工况二荷载作用下，主梁最大实测弹性挠度值为2.11mm，实测控制截面的挠度值均小于理论值，校验系数在0.60～0.88之间；相对残余变形在0.00%～17.95%之间。"/>
    <w:docVar w:name="dispResult3" w:val="(3)在工况三荷载作用下，主梁最大实测弹性挠度值为2.11mm，实测控制截面的挠度值均小于理论值，校验系数在0.64～0.81之间；相对残余变形在4.95%～8.47%之间。"/>
    <w:docVar w:name="dispSummary1" w:val="工况一主梁挠度检测结果详见dispTbCrossRef1，挠度实测值与理论计算值的关系曲线详见dispGraphCrossRef1。检测结果表明，所测主梁的挠度校验系数在0.76～0.89之间，相对残余变形在0.00%～4.74%之间。"/>
    <w:docVar w:name="dispSummary2" w:val="工况二主梁挠度检测结果详见dispTbCrossRef2，挠度实测值与理论计算值的关系曲线详见dispGraphCrossRef2。检测结果表明，所测主梁的挠度校验系数在0.60～0.88之间，相对残余变形在0.00%～17.95%之间。"/>
    <w:docVar w:name="dispSummary3" w:val="工况三主梁挠度检测结果详见dispTbCrossRef3，挠度实测值与理论计算值的关系曲线详见dispGraphCrossRef3。检测结果表明，所测主梁的挠度校验系数在0.64～0.81之间，相对残余变形在4.95%～8.47%之间。"/>
    <w:docVar w:name="dispTbTitle1" w:val="工况一挠度检测结果汇总表"/>
    <w:docVar w:name="dispTbTitle2" w:val="工况二挠度检测结果汇总表"/>
    <w:docVar w:name="dispTbTitle3" w:val="工况三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A-A截面应变实测值与理论计算值的关系曲线"/>
    <w:docVar w:name="strainChartTitle2" w:val="工况一B-B截面应变实测值与理论计算值的关系曲线"/>
    <w:docVar w:name="strainChartTitle3" w:val="工况二应变实测值与理论计算值的关系曲线"/>
    <w:docVar w:name="strainResult1" w:val="(1)在工况一荷载作用下，所测主梁A-A截面最大弹性应变为46με，实测控制截面的混凝土应变值均小于理论值，校验系数在0.63～0.80之间；相对残余应变在0.00%～9.80%之间。"/>
    <w:docVar w:name="strainResult2" w:val="(2)在工况一荷载作用下，所测主梁B-B截面最大弹性应变为0με，实测控制截面的混凝土应变值均小于理论值，校验系数在0.00～0.43之间；相对残余应变在0.00%～16.67%之间。"/>
    <w:docVar w:name="strainResult3" w:val="(3)在工况二荷载作用下，所测主梁最大弹性应变为43με，实测控制截面的混凝土应变值均小于理论值，校验系数在0.34～0.69之间；相对残余应变在0.00%～8.51%之间。"/>
    <w:docVar w:name="strainSummary1" w:val="工况一主梁A-A截面测点应变检测结果详见strainTbCrossRef1，应变实测值与理论计算值的关系曲线详见strainGraphCrossRef1。检测结果表明，所测主梁的应变校验系数在0.63～0.80之间，相对残余应变在0.00%～9.80%之间。"/>
    <w:docVar w:name="strainSummary2" w:val="工况一主梁B-B截面测点应变检测结果详见strainTbCrossRef2，应变实测值与理论计算值的关系曲线详见strainGraphCrossRef2。检测结果表明，所测主梁的应变校验系数在0.00～0.43之间，相对残余应变在0.00%～16.67%之间。"/>
    <w:docVar w:name="strainSummary3" w:val="工况二测试截面测点应变检测结果详见strainTbCrossRef3，应变实测值与理论计算值的关系曲线详见strainGraphCrossRef3。检测结果表明，所测主梁的应变校验系数在0.34～0.69之间，相对残余应变在0.00%～8.51%之间。"/>
    <w:docVar w:name="strainTbTitle1" w:val="工况一A-A截面应变检测结果汇总表"/>
    <w:docVar w:name="strainTbTitle2" w:val="工况一B-B截面应变检测结果汇总表"/>
    <w:docVar w:name="strainTbTitle3"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053503"/>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66CFC"/>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66208F"/>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0814513"/>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0" Type="http://schemas.openxmlformats.org/officeDocument/2006/relationships/fontTable" Target="fontTable.xml"/><Relationship Id="rId8" Type="http://schemas.openxmlformats.org/officeDocument/2006/relationships/oleObject" Target="embeddings/oleObject2.bin"/><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48.jpeg"/><Relationship Id="rId76" Type="http://schemas.openxmlformats.org/officeDocument/2006/relationships/image" Target="media/image47.jpeg"/><Relationship Id="rId75" Type="http://schemas.openxmlformats.org/officeDocument/2006/relationships/image" Target="media/image46.jpeg"/><Relationship Id="rId74" Type="http://schemas.openxmlformats.org/officeDocument/2006/relationships/image" Target="media/image45.jpeg"/><Relationship Id="rId73" Type="http://schemas.openxmlformats.org/officeDocument/2006/relationships/image" Target="media/image44.jpeg"/><Relationship Id="rId72" Type="http://schemas.openxmlformats.org/officeDocument/2006/relationships/image" Target="media/image43.jpeg"/><Relationship Id="rId71" Type="http://schemas.openxmlformats.org/officeDocument/2006/relationships/image" Target="media/image42.png"/><Relationship Id="rId70" Type="http://schemas.openxmlformats.org/officeDocument/2006/relationships/image" Target="media/image41.png"/><Relationship Id="rId7" Type="http://schemas.openxmlformats.org/officeDocument/2006/relationships/image" Target="media/image1.wmf"/><Relationship Id="rId69" Type="http://schemas.openxmlformats.org/officeDocument/2006/relationships/image" Target="media/image40.png"/><Relationship Id="rId68" Type="http://schemas.openxmlformats.org/officeDocument/2006/relationships/image" Target="media/image39.png"/><Relationship Id="rId67" Type="http://schemas.openxmlformats.org/officeDocument/2006/relationships/image" Target="media/image38.png"/><Relationship Id="rId66" Type="http://schemas.openxmlformats.org/officeDocument/2006/relationships/image" Target="media/image37.png"/><Relationship Id="rId65" Type="http://schemas.openxmlformats.org/officeDocument/2006/relationships/image" Target="media/image36.png"/><Relationship Id="rId64" Type="http://schemas.openxmlformats.org/officeDocument/2006/relationships/image" Target="media/image35.png"/><Relationship Id="rId63" Type="http://schemas.openxmlformats.org/officeDocument/2006/relationships/image" Target="media/image34.png"/><Relationship Id="rId62" Type="http://schemas.openxmlformats.org/officeDocument/2006/relationships/image" Target="media/image33.png"/><Relationship Id="rId61" Type="http://schemas.openxmlformats.org/officeDocument/2006/relationships/chart" Target="charts/chart6.xml"/><Relationship Id="rId60" Type="http://schemas.openxmlformats.org/officeDocument/2006/relationships/chart" Target="charts/chart5.xml"/><Relationship Id="rId6" Type="http://schemas.openxmlformats.org/officeDocument/2006/relationships/oleObject" Target="embeddings/oleObject1.bin"/><Relationship Id="rId59" Type="http://schemas.openxmlformats.org/officeDocument/2006/relationships/chart" Target="charts/chart4.xml"/><Relationship Id="rId58" Type="http://schemas.openxmlformats.org/officeDocument/2006/relationships/chart" Target="charts/chart3.xml"/><Relationship Id="rId57" Type="http://schemas.openxmlformats.org/officeDocument/2006/relationships/chart" Target="charts/chart2.xml"/><Relationship Id="rId56" Type="http://schemas.openxmlformats.org/officeDocument/2006/relationships/chart" Target="charts/chart1.xml"/><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E:\vsProjects\AutoReport\&#33258;&#21160;&#25253;&#21578;&#20027;&#31243;&#24207;.xlsm"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[自动报告主程序.xlsm]挠度!$F$13:$F$16</c:f>
              <c:numCache>
                <c:formatCode>General</c:formatCode>
                <c:ptCount val="4"/>
                <c:pt idx="0">
                  <c:v>2.09</c:v>
                </c:pt>
                <c:pt idx="1">
                  <c:v>2.66</c:v>
                </c:pt>
                <c:pt idx="2">
                  <c:v>2.7</c:v>
                </c:pt>
                <c:pt idx="3">
                  <c:v>2.59</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[自动报告主程序.xlsm]挠度!$Q$13:$Q$16</c:f>
              <c:numCache>
                <c:formatCode>0.00_ </c:formatCode>
                <c:ptCount val="4"/>
                <c:pt idx="0">
                  <c:v>1.66</c:v>
                </c:pt>
                <c:pt idx="1">
                  <c:v>2.02000000000001</c:v>
                </c:pt>
                <c:pt idx="2">
                  <c:v>2.41000000000001</c:v>
                </c:pt>
                <c:pt idx="3">
                  <c:v>2.17000000000002</c:v>
                </c:pt>
              </c:numCache>
            </c:numRef>
          </c:val>
          <c:smooth val="0"/>
        </c:ser>
        <c:dLbls>
          <c:showLegendKey val="0"/>
          <c:showVal val="0"/>
          <c:showCatName val="0"/>
          <c:showSerName val="0"/>
          <c:showPercent val="0"/>
          <c:showBubbleSize val="0"/>
        </c:dLbls>
        <c:marker val="1"/>
        <c:smooth val="0"/>
        <c:axId val="585335730"/>
        <c:axId val="657440354"/>
      </c:lineChart>
      <c:catAx>
        <c:axId val="58533573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7440354"/>
        <c:crosses val="autoZero"/>
        <c:auto val="1"/>
        <c:lblAlgn val="ctr"/>
        <c:lblOffset val="100"/>
        <c:noMultiLvlLbl val="0"/>
      </c:catAx>
      <c:valAx>
        <c:axId val="65744035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8533573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43</c:v>
                </c:pt>
                <c:pt idx="1">
                  <c:v>46</c:v>
                </c:pt>
                <c:pt idx="2">
                  <c:v>40</c:v>
                </c:pt>
                <c:pt idx="3">
                  <c:v>44</c:v>
                </c:pt>
              </c:numCache>
            </c:numRef>
          </c:val>
          <c:smooth val="0"/>
        </c:ser>
        <c:dLbls>
          <c:showLegendKey val="0"/>
          <c:showVal val="0"/>
          <c:showCatName val="0"/>
          <c:showSerName val="0"/>
          <c:showPercent val="0"/>
          <c:showBubbleSize val="0"/>
        </c:dLbls>
        <c:marker val="1"/>
        <c:smooth val="0"/>
        <c:axId val="72052874"/>
        <c:axId val="392287985"/>
      </c:lineChart>
      <c:catAx>
        <c:axId val="7205287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92287985"/>
        <c:crosses val="autoZero"/>
        <c:auto val="1"/>
        <c:lblAlgn val="ctr"/>
        <c:lblOffset val="100"/>
        <c:noMultiLvlLbl val="0"/>
      </c:catAx>
      <c:valAx>
        <c:axId val="39228798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205287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[自动报告主程序.xlsm]应变!$J$19:$J$22</c:f>
              <c:numCache>
                <c:formatCode>0_ </c:formatCode>
                <c:ptCount val="4"/>
                <c:pt idx="0">
                  <c:v>-46</c:v>
                </c:pt>
                <c:pt idx="1">
                  <c:v>-52</c:v>
                </c:pt>
                <c:pt idx="2">
                  <c:v>-37</c:v>
                </c:pt>
                <c:pt idx="3">
                  <c:v>-28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[自动报告主程序.xlsm]应变!$AB$19:$AB$22</c:f>
              <c:numCache>
                <c:formatCode>0_ </c:formatCode>
                <c:ptCount val="4"/>
                <c:pt idx="0">
                  <c:v>-12</c:v>
                </c:pt>
                <c:pt idx="1">
                  <c:v>-10</c:v>
                </c:pt>
                <c:pt idx="2">
                  <c:v>0</c:v>
                </c:pt>
                <c:pt idx="3">
                  <c:v>-12</c:v>
                </c:pt>
              </c:numCache>
            </c:numRef>
          </c:val>
          <c:smooth val="0"/>
        </c:ser>
        <c:dLbls>
          <c:showLegendKey val="0"/>
          <c:showVal val="0"/>
          <c:showCatName val="0"/>
          <c:showSerName val="0"/>
          <c:showPercent val="0"/>
          <c:showBubbleSize val="0"/>
        </c:dLbls>
        <c:marker val="1"/>
        <c:smooth val="0"/>
        <c:axId val="613877524"/>
        <c:axId val="129511903"/>
      </c:lineChart>
      <c:catAx>
        <c:axId val="6138775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29511903"/>
        <c:crosses val="autoZero"/>
        <c:auto val="1"/>
        <c:lblAlgn val="ctr"/>
        <c:lblOffset val="100"/>
        <c:noMultiLvlLbl val="0"/>
      </c:catAx>
      <c:valAx>
        <c:axId val="1295119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1387752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[自动报告主程序.xlsm]挠度!$F$17:$F$20</c:f>
              <c:numCache>
                <c:formatCode>General</c:formatCode>
                <c:ptCount val="4"/>
                <c:pt idx="0">
                  <c:v>2.09</c:v>
                </c:pt>
                <c:pt idx="1">
                  <c:v>2.66</c:v>
                </c:pt>
                <c:pt idx="2">
                  <c:v>2.7</c:v>
                </c:pt>
                <c:pt idx="3">
                  <c:v>2.59</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[自动报告主程序.xlsm]挠度!$Q$17:$Q$20</c:f>
              <c:numCache>
                <c:formatCode>0.00_ </c:formatCode>
                <c:ptCount val="4"/>
                <c:pt idx="0">
                  <c:v>1.82999999999993</c:v>
                </c:pt>
                <c:pt idx="1">
                  <c:v>1.60000000000002</c:v>
                </c:pt>
                <c:pt idx="2">
                  <c:v>1.73000000000002</c:v>
                </c:pt>
                <c:pt idx="3">
                  <c:v>2.11000000000001</c:v>
                </c:pt>
              </c:numCache>
            </c:numRef>
          </c:val>
          <c:smooth val="0"/>
        </c:ser>
        <c:dLbls>
          <c:showLegendKey val="0"/>
          <c:showVal val="0"/>
          <c:showCatName val="0"/>
          <c:showSerName val="0"/>
          <c:showPercent val="0"/>
          <c:showBubbleSize val="0"/>
        </c:dLbls>
        <c:marker val="1"/>
        <c:smooth val="0"/>
        <c:axId val="111961737"/>
        <c:axId val="901181365"/>
      </c:lineChart>
      <c:catAx>
        <c:axId val="11196173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01181365"/>
        <c:crosses val="autoZero"/>
        <c:auto val="1"/>
        <c:lblAlgn val="ctr"/>
        <c:lblOffset val="100"/>
        <c:noMultiLvlLbl val="0"/>
      </c:catAx>
      <c:valAx>
        <c:axId val="90118136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1196173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[自动报告主程序.xlsm]应变!$J$23:$J$26</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[自动报告主程序.xlsm]应变!$AB$23:$AB$26</c:f>
              <c:numCache>
                <c:formatCode>0_ </c:formatCode>
                <c:ptCount val="4"/>
                <c:pt idx="0">
                  <c:v>42</c:v>
                </c:pt>
                <c:pt idx="1">
                  <c:v>23</c:v>
                </c:pt>
                <c:pt idx="2">
                  <c:v>43</c:v>
                </c:pt>
                <c:pt idx="3">
                  <c:v>34</c:v>
                </c:pt>
              </c:numCache>
            </c:numRef>
          </c:val>
          <c:smooth val="0"/>
        </c:ser>
        <c:dLbls>
          <c:showLegendKey val="0"/>
          <c:showVal val="0"/>
          <c:showCatName val="0"/>
          <c:showSerName val="0"/>
          <c:showPercent val="0"/>
          <c:showBubbleSize val="0"/>
        </c:dLbls>
        <c:marker val="1"/>
        <c:smooth val="0"/>
        <c:axId val="954228837"/>
        <c:axId val="999866963"/>
      </c:lineChart>
      <c:catAx>
        <c:axId val="95422883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99866963"/>
        <c:crosses val="autoZero"/>
        <c:auto val="1"/>
        <c:lblAlgn val="ctr"/>
        <c:lblOffset val="100"/>
        <c:noMultiLvlLbl val="0"/>
      </c:catAx>
      <c:valAx>
        <c:axId val="9998669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5422883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([自动报告主程序.xlsm]挠度!$F$21,[自动报告主程序.xlsm]挠度!$Q$21)</c:f>
              <c:numCache>
                <c:formatCode>General</c:formatCode>
                <c:ptCount val="2"/>
                <c:pt idx="0">
                  <c:v>2.59</c:v>
                </c:pt>
                <c:pt idx="1" c:formatCode="0.00_ ">
                  <c:v>2.11000000000001</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([自动报告主程序.xlsm]挠度!$F$22,[自动报告主程序.xlsm]挠度!$Q$22)</c:f>
              <c:numCache>
                <c:formatCode>General</c:formatCode>
                <c:ptCount val="2"/>
                <c:pt idx="0">
                  <c:v>2.7</c:v>
                </c:pt>
                <c:pt idx="1" c:formatCode="0.00_ ">
                  <c:v>1.73000000000002</c:v>
                </c:pt>
              </c:numCache>
            </c:numRef>
          </c:val>
          <c:smooth val="0"/>
        </c:ser>
        <c:dLbls>
          <c:showLegendKey val="0"/>
          <c:showVal val="0"/>
          <c:showCatName val="0"/>
          <c:showSerName val="0"/>
          <c:showPercent val="0"/>
          <c:showBubbleSize val="0"/>
        </c:dLbls>
        <c:marker val="1"/>
        <c:smooth val="0"/>
        <c:axId val="893813408"/>
        <c:axId val="327860430"/>
      </c:lineChart>
      <c:catAx>
        <c:axId val="893813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27860430"/>
        <c:crosses val="autoZero"/>
        <c:auto val="1"/>
        <c:lblAlgn val="ctr"/>
        <c:lblOffset val="100"/>
        <c:noMultiLvlLbl val="0"/>
      </c:catAx>
      <c:valAx>
        <c:axId val="32786043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9381340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2019-03-13T00:51:19Z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