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(1)在工况一荷载作用下，主梁最大实测弹性挠度值为0.80mm，实测控制截面的挠度值均小于理论值，校验系数在0.39～0.54之间；相对残余变形在0.00%～0.00%之间。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t>(2)在工况二荷载作用下，主梁最大实测弹性挠度值为2.39mm，实测控制截面的挠度值均小于理论值，校验系数在0.53～0.58之间；相对残余变形在0.00%～4.41%之间。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t>(1)在工况一荷载作用下，所测主梁最大弹性应变为15με，实测控制截面的混凝土应变值均小于理论值，校验系数在0.24～0.47之间；相对残余应变在0.00%～0.00%之间。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t>(2)在工况二荷载作用下，所测主梁最大弹性应变为45με，实测控制截面的混凝土应变值均小于理论值，校验系数在0.36～0.50之间；相对残余应变在0.00%～3.33%之间。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numPr>
          <w:ilvl w:val="0"/>
          <w:numId w:val="0"/>
        </w:numPr>
        <w:tabs>
          <w:tab w:val="left" w:pos="432"/>
          <w:tab w:val="left" w:pos="3462"/>
        </w:tabs>
        <w:spacing w:line="360" w:lineRule="auto"/>
        <w:ind w:left="4323" w:leftChars="0" w:hanging="4323" w:hangingChars="1441"/>
        <w:jc w:val="center"/>
        <w:rPr>
          <w:rFonts w:ascii="Times New Roman" w:hAnsi="Times New Roman" w:eastAsia="楷体_GB2312" w:cs="Times New Roman"/>
          <w:kern w:val="2"/>
          <w:sz w:val="24"/>
          <w:szCs w:val="24"/>
          <w:lang w:val="en-US" w:eastAsia="zh-CN" w:bidi="ar-SA"/>
        </w:rPr>
      </w:pPr>
      <w:bookmarkStart w:id="14" w:name="_Toc3574"/>
      <w:r>
        <w:rPr>
          <w:rFonts w:hint="eastAsia" w:ascii="楷体_GB2312" w:eastAsia="楷体_GB2312"/>
          <w:bCs w:val="0"/>
          <w:sz w:val="30"/>
          <w:szCs w:val="30"/>
        </w:rPr>
        <w:t>目  录</w:t>
      </w:r>
      <w:bookmarkEnd w:id="14"/>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_Toc30230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_Toc30230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_Toc18714 </w:instrText>
      </w:r>
      <w:r>
        <w:fldChar w:fldCharType="separate"/>
      </w:r>
      <w:r>
        <w:rPr>
          <w:rFonts w:hint="eastAsia" w:ascii="楷体_GB2312" w:hAnsi="楷体_GB2312" w:eastAsia="楷体_GB2312"/>
          <w:szCs w:val="24"/>
        </w:rPr>
        <w:t>1.1 工程概况</w:t>
      </w:r>
      <w:r>
        <w:tab/>
      </w:r>
      <w:r>
        <w:fldChar w:fldCharType="begin"/>
      </w:r>
      <w:r>
        <w:instrText xml:space="preserve"> PAGEREF _Toc18714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_Toc7953 </w:instrText>
      </w:r>
      <w:r>
        <w:fldChar w:fldCharType="separate"/>
      </w:r>
      <w:r>
        <w:rPr>
          <w:rFonts w:hint="eastAsia" w:ascii="楷体_GB2312" w:hAnsi="楷体_GB2312" w:eastAsia="楷体_GB2312"/>
          <w:szCs w:val="24"/>
        </w:rPr>
        <w:t>1.2 主要检测仪器</w:t>
      </w:r>
      <w:r>
        <w:tab/>
      </w:r>
      <w:r>
        <w:fldChar w:fldCharType="begin"/>
      </w:r>
      <w:r>
        <w:instrText xml:space="preserve"> PAGEREF _Toc7953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_Toc25749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_Toc25749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_Toc24703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_Toc24703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_Toc24401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_Toc24401 </w:instrText>
      </w:r>
      <w:r>
        <w:fldChar w:fldCharType="separate"/>
      </w:r>
      <w:r>
        <w:t>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_Toc17241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_Toc17241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_Toc3381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_Toc3381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_Toc18298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_Toc18298 </w:instrText>
      </w:r>
      <w:r>
        <w:fldChar w:fldCharType="separate"/>
      </w:r>
      <w:r>
        <w:t>10</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_Toc9235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_Toc9235 </w:instrText>
      </w:r>
      <w:r>
        <w:fldChar w:fldCharType="separate"/>
      </w:r>
      <w:r>
        <w:t>10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_Toc13118 </w:instrText>
      </w:r>
      <w:r>
        <w:fldChar w:fldCharType="separate"/>
      </w:r>
      <w:r>
        <w:rPr>
          <w:rFonts w:hint="eastAsia" w:ascii="楷体_GB2312" w:eastAsia="楷体_GB2312"/>
          <w:kern w:val="0"/>
          <w:szCs w:val="24"/>
        </w:rPr>
        <w:t>第3章 桥梁静载试验</w:t>
      </w:r>
      <w:r>
        <w:tab/>
      </w:r>
      <w:r>
        <w:fldChar w:fldCharType="begin"/>
      </w:r>
      <w:r>
        <w:instrText xml:space="preserve"> PAGEREF _Toc13118 </w:instrText>
      </w:r>
      <w:r>
        <w:fldChar w:fldCharType="separate"/>
      </w:r>
      <w:r>
        <w:t>12</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_Toc327 </w:instrText>
      </w:r>
      <w:r>
        <w:fldChar w:fldCharType="separate"/>
      </w:r>
      <w:r>
        <w:rPr>
          <w:rFonts w:hint="eastAsia" w:ascii="楷体_GB2312" w:hAnsi="楷体_GB2312" w:eastAsia="楷体_GB2312"/>
          <w:szCs w:val="24"/>
        </w:rPr>
        <w:t>3.1 静载试验概况</w:t>
      </w:r>
      <w:r>
        <w:tab/>
      </w:r>
      <w:r>
        <w:fldChar w:fldCharType="begin"/>
      </w:r>
      <w:r>
        <w:instrText xml:space="preserve"> PAGEREF _Toc327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_Toc9539 </w:instrText>
      </w:r>
      <w:r>
        <w:fldChar w:fldCharType="separate"/>
      </w:r>
      <w:r>
        <w:rPr>
          <w:rFonts w:hint="eastAsia" w:ascii="楷体_GB2312" w:eastAsia="楷体_GB2312"/>
          <w:lang w:val="en-US" w:eastAsia="zh-CN"/>
        </w:rPr>
        <w:t>3</w:t>
      </w:r>
      <w:r>
        <w:rPr>
          <w:rFonts w:hint="eastAsia" w:ascii="楷体_GB2312" w:eastAsia="楷体_GB2312"/>
        </w:rPr>
        <w:t>.1.1 试验荷载</w:t>
      </w:r>
      <w:r>
        <w:tab/>
      </w:r>
      <w:r>
        <w:fldChar w:fldCharType="begin"/>
      </w:r>
      <w:r>
        <w:instrText xml:space="preserve"> PAGEREF _Toc9539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_Toc19705 </w:instrText>
      </w:r>
      <w:r>
        <w:fldChar w:fldCharType="separate"/>
      </w:r>
      <w:r>
        <w:rPr>
          <w:rFonts w:hint="eastAsia" w:ascii="楷体_GB2312" w:eastAsia="楷体_GB2312"/>
          <w:lang w:val="en-US" w:eastAsia="zh-CN"/>
        </w:rPr>
        <w:t>3</w:t>
      </w:r>
      <w:r>
        <w:rPr>
          <w:rFonts w:hint="eastAsia" w:ascii="楷体_GB2312" w:eastAsia="楷体_GB2312"/>
        </w:rPr>
        <w:t>.1.2 加载工况及荷载效率</w:t>
      </w:r>
      <w:r>
        <w:tab/>
      </w:r>
      <w:r>
        <w:fldChar w:fldCharType="begin"/>
      </w:r>
      <w:r>
        <w:instrText xml:space="preserve"> PAGEREF _Toc19705 </w:instrText>
      </w:r>
      <w:r>
        <w:fldChar w:fldCharType="separate"/>
      </w:r>
      <w:r>
        <w:t>12</w:t>
      </w:r>
      <w:r>
        <w:fldChar w:fldCharType="end"/>
      </w:r>
      <w:r>
        <w:fldChar w:fldCharType="end"/>
      </w:r>
    </w:p>
    <w:p>
      <w:pPr>
        <w:pStyle w:val="18"/>
        <w:tabs>
          <w:tab w:val="right" w:leader="dot" w:pos="9241"/>
        </w:tabs>
      </w:pPr>
      <w:r>
        <w:fldChar w:fldCharType="begin"/>
      </w:r>
      <w:r>
        <w:instrText xml:space="preserve"> HYPERLINK \l _Toc8451 </w:instrText>
      </w:r>
      <w:r>
        <w:fldChar w:fldCharType="separate"/>
      </w:r>
      <w:r>
        <w:rPr>
          <w:rFonts w:hint="eastAsia" w:ascii="楷体_GB2312" w:eastAsia="楷体_GB2312"/>
          <w:lang w:val="en-US" w:eastAsia="zh-CN"/>
        </w:rPr>
        <w:t>3</w:t>
      </w:r>
      <w:r>
        <w:rPr>
          <w:rFonts w:hint="eastAsia" w:ascii="楷体_GB2312" w:eastAsia="楷体_GB2312"/>
        </w:rPr>
        <w:t>.1.3 测点布置</w:t>
      </w:r>
      <w:r>
        <w:tab/>
      </w:r>
      <w:r>
        <w:fldChar w:fldCharType="begin"/>
      </w:r>
      <w:r>
        <w:instrText xml:space="preserve"> PAGEREF _Toc8451 </w:instrText>
      </w:r>
      <w:r>
        <w:fldChar w:fldCharType="separate"/>
      </w:r>
      <w:r>
        <w:t>13</w:t>
      </w:r>
      <w:r>
        <w:fldChar w:fldCharType="end"/>
      </w:r>
      <w:r>
        <w:fldChar w:fldCharType="end"/>
      </w:r>
    </w:p>
    <w:p>
      <w:pPr>
        <w:pStyle w:val="18"/>
        <w:tabs>
          <w:tab w:val="right" w:leader="dot" w:pos="9241"/>
        </w:tabs>
      </w:pPr>
      <w:r>
        <w:fldChar w:fldCharType="begin"/>
      </w:r>
      <w:r>
        <w:instrText xml:space="preserve"> HYPERLINK \l _Toc28880 </w:instrText>
      </w:r>
      <w:r>
        <w:fldChar w:fldCharType="separate"/>
      </w:r>
      <w:r>
        <w:rPr>
          <w:rFonts w:hint="eastAsia" w:ascii="楷体_GB2312" w:eastAsia="楷体_GB2312"/>
          <w:lang w:val="en-US" w:eastAsia="zh-CN"/>
        </w:rPr>
        <w:t>3</w:t>
      </w:r>
      <w:r>
        <w:rPr>
          <w:rFonts w:hint="eastAsia" w:ascii="楷体_GB2312" w:eastAsia="楷体_GB2312"/>
        </w:rPr>
        <w:t>.1.4 加载过程</w:t>
      </w:r>
      <w:r>
        <w:tab/>
      </w:r>
      <w:r>
        <w:fldChar w:fldCharType="begin"/>
      </w:r>
      <w:r>
        <w:instrText xml:space="preserve"> PAGEREF _Toc28880 </w:instrText>
      </w:r>
      <w:r>
        <w:fldChar w:fldCharType="separate"/>
      </w:r>
      <w:r>
        <w:t>14</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_Toc21851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_Toc21851 </w:instrText>
      </w:r>
      <w:r>
        <w:fldChar w:fldCharType="separate"/>
      </w:r>
      <w:r>
        <w:t>14</w:t>
      </w:r>
      <w:r>
        <w:fldChar w:fldCharType="end"/>
      </w:r>
      <w:r>
        <w:fldChar w:fldCharType="end"/>
      </w:r>
    </w:p>
    <w:p>
      <w:pPr>
        <w:pStyle w:val="18"/>
        <w:tabs>
          <w:tab w:val="right" w:leader="dot" w:pos="9241"/>
        </w:tabs>
      </w:pPr>
      <w:r>
        <w:fldChar w:fldCharType="begin"/>
      </w:r>
      <w:r>
        <w:instrText xml:space="preserve"> HYPERLINK \l _Toc17622 </w:instrText>
      </w:r>
      <w:r>
        <w:fldChar w:fldCharType="separate"/>
      </w:r>
      <w:r>
        <w:rPr>
          <w:rFonts w:hint="eastAsia" w:ascii="楷体_GB2312" w:eastAsia="楷体_GB2312"/>
          <w:lang w:val="en-US" w:eastAsia="zh-CN"/>
        </w:rPr>
        <w:t>3</w:t>
      </w:r>
      <w:r>
        <w:rPr>
          <w:rFonts w:hint="eastAsia" w:ascii="楷体_GB2312" w:eastAsia="楷体_GB2312"/>
        </w:rPr>
        <w:t>.</w:t>
      </w:r>
      <w:r>
        <w:rPr>
          <w:rFonts w:hint="eastAsia" w:ascii="楷体_GB2312" w:eastAsia="楷体_GB2312"/>
          <w:lang w:val="en-US" w:eastAsia="zh-CN"/>
        </w:rPr>
        <w:t>2</w:t>
      </w:r>
      <w:r>
        <w:rPr>
          <w:rFonts w:hint="eastAsia" w:ascii="楷体_GB2312" w:eastAsia="楷体_GB2312"/>
        </w:rPr>
        <w:t>.</w:t>
      </w:r>
      <w:r>
        <w:rPr>
          <w:rFonts w:hint="eastAsia" w:ascii="楷体_GB2312" w:eastAsia="楷体_GB2312"/>
          <w:lang w:val="en-US" w:eastAsia="zh-CN"/>
        </w:rPr>
        <w:t>1</w:t>
      </w:r>
      <w:r>
        <w:rPr>
          <w:rFonts w:hint="eastAsia" w:ascii="楷体_GB2312" w:eastAsia="楷体_GB2312"/>
        </w:rPr>
        <w:t xml:space="preserve"> </w:t>
      </w:r>
      <w:r>
        <w:rPr>
          <w:rFonts w:hint="eastAsia" w:ascii="楷体_GB2312" w:eastAsia="楷体_GB2312"/>
          <w:lang w:eastAsia="zh-CN"/>
        </w:rPr>
        <w:t>工况一测试结果</w:t>
      </w:r>
      <w:r>
        <w:tab/>
      </w:r>
      <w:r>
        <w:fldChar w:fldCharType="begin"/>
      </w:r>
      <w:r>
        <w:instrText xml:space="preserve"> PAGEREF _Toc17622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_Toc5185 </w:instrText>
      </w:r>
      <w:r>
        <w:fldChar w:fldCharType="separate"/>
      </w:r>
      <w:r>
        <w:rPr>
          <w:rFonts w:hint="eastAsia" w:ascii="楷体_GB2312" w:eastAsia="楷体_GB2312"/>
          <w:kern w:val="0"/>
          <w:szCs w:val="24"/>
        </w:rPr>
        <w:t>第4章 桥梁动载试验</w:t>
      </w:r>
      <w:r>
        <w:tab/>
      </w:r>
      <w:r>
        <w:fldChar w:fldCharType="begin"/>
      </w:r>
      <w:r>
        <w:instrText xml:space="preserve"> PAGEREF _Toc5185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_Toc11482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_Toc11482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_Toc27958 </w:instrText>
      </w:r>
      <w:r>
        <w:fldChar w:fldCharType="separate"/>
      </w:r>
      <w:r>
        <w:rPr>
          <w:rFonts w:hint="eastAsia" w:ascii="楷体_GB2312" w:eastAsia="楷体_GB2312"/>
          <w:lang w:val="en-US" w:eastAsia="zh-CN"/>
        </w:rPr>
        <w:t>4</w:t>
      </w:r>
      <w:r>
        <w:rPr>
          <w:rFonts w:hint="eastAsia" w:ascii="楷体_GB2312" w:eastAsia="楷体_GB2312"/>
        </w:rPr>
        <w:t>.1.1 测点</w:t>
      </w:r>
      <w:r>
        <w:rPr>
          <w:rFonts w:ascii="楷体_GB2312" w:eastAsia="楷体_GB2312"/>
        </w:rPr>
        <w:t>布置</w:t>
      </w:r>
      <w:r>
        <w:tab/>
      </w:r>
      <w:r>
        <w:fldChar w:fldCharType="begin"/>
      </w:r>
      <w:r>
        <w:instrText xml:space="preserve"> PAGEREF _Toc27958 </w:instrText>
      </w:r>
      <w:r>
        <w:fldChar w:fldCharType="separate"/>
      </w:r>
      <w:r>
        <w:t>17</w:t>
      </w:r>
      <w:r>
        <w:fldChar w:fldCharType="end"/>
      </w:r>
      <w:r>
        <w:fldChar w:fldCharType="end"/>
      </w:r>
    </w:p>
    <w:p>
      <w:pPr>
        <w:pStyle w:val="18"/>
        <w:tabs>
          <w:tab w:val="right" w:leader="dot" w:pos="9241"/>
        </w:tabs>
      </w:pPr>
      <w:r>
        <w:fldChar w:fldCharType="begin"/>
      </w:r>
      <w:r>
        <w:instrText xml:space="preserve"> HYPERLINK \l _Toc29082 </w:instrText>
      </w:r>
      <w:r>
        <w:fldChar w:fldCharType="separate"/>
      </w:r>
      <w:r>
        <w:rPr>
          <w:rFonts w:hint="eastAsia" w:ascii="楷体_GB2312" w:eastAsia="楷体_GB2312"/>
          <w:lang w:val="en-US" w:eastAsia="zh-CN"/>
        </w:rPr>
        <w:t>4</w:t>
      </w:r>
      <w:r>
        <w:rPr>
          <w:rFonts w:hint="eastAsia" w:ascii="楷体_GB2312" w:eastAsia="楷体_GB2312"/>
        </w:rPr>
        <w:t>.1.</w:t>
      </w:r>
      <w:r>
        <w:rPr>
          <w:rFonts w:ascii="楷体_GB2312" w:eastAsia="楷体_GB2312"/>
        </w:rPr>
        <w:t>2</w:t>
      </w:r>
      <w:r>
        <w:rPr>
          <w:rFonts w:hint="eastAsia" w:ascii="楷体_GB2312" w:eastAsia="楷体_GB2312"/>
        </w:rPr>
        <w:t xml:space="preserve"> 试验</w:t>
      </w:r>
      <w:r>
        <w:rPr>
          <w:rFonts w:ascii="楷体_GB2312" w:eastAsia="楷体_GB2312"/>
        </w:rPr>
        <w:t>结果与分析</w:t>
      </w:r>
      <w:r>
        <w:tab/>
      </w:r>
      <w:r>
        <w:fldChar w:fldCharType="begin"/>
      </w:r>
      <w:r>
        <w:instrText xml:space="preserve"> PAGEREF _Toc29082 </w:instrText>
      </w:r>
      <w:r>
        <w:fldChar w:fldCharType="separate"/>
      </w:r>
      <w:r>
        <w:t>17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_Toc10294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_Toc10294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_Toc15477 </w:instrText>
      </w:r>
      <w:r>
        <w:fldChar w:fldCharType="separate"/>
      </w:r>
      <w:r>
        <w:rPr>
          <w:rFonts w:hint="eastAsia" w:ascii="楷体_GB2312" w:eastAsia="楷体_GB2312"/>
          <w:lang w:val="en-US" w:eastAsia="zh-CN"/>
        </w:rPr>
        <w:t>4</w:t>
      </w:r>
      <w:r>
        <w:rPr>
          <w:rFonts w:ascii="楷体_GB2312" w:eastAsia="楷体_GB2312"/>
        </w:rPr>
        <w:t>.2.1</w:t>
      </w:r>
      <w:r>
        <w:rPr>
          <w:rFonts w:hint="eastAsia" w:ascii="楷体_GB2312" w:eastAsia="楷体_GB2312"/>
        </w:rPr>
        <w:t xml:space="preserve"> </w:t>
      </w:r>
      <w:r>
        <w:rPr>
          <w:rFonts w:ascii="楷体_GB2312" w:eastAsia="楷体_GB2312"/>
        </w:rPr>
        <w:t>测点布置</w:t>
      </w:r>
      <w:r>
        <w:tab/>
      </w:r>
      <w:r>
        <w:fldChar w:fldCharType="begin"/>
      </w:r>
      <w:r>
        <w:instrText xml:space="preserve"> PAGEREF _Toc15477 </w:instrText>
      </w:r>
      <w:r>
        <w:fldChar w:fldCharType="separate"/>
      </w:r>
      <w:r>
        <w:t>18</w:t>
      </w:r>
      <w:r>
        <w:fldChar w:fldCharType="end"/>
      </w:r>
      <w:r>
        <w:fldChar w:fldCharType="end"/>
      </w:r>
    </w:p>
    <w:p>
      <w:pPr>
        <w:pStyle w:val="18"/>
        <w:tabs>
          <w:tab w:val="right" w:leader="dot" w:pos="9241"/>
        </w:tabs>
      </w:pPr>
      <w:r>
        <w:fldChar w:fldCharType="begin"/>
      </w:r>
      <w:r>
        <w:instrText xml:space="preserve"> HYPERLINK \l _Toc3379 </w:instrText>
      </w:r>
      <w:r>
        <w:fldChar w:fldCharType="separate"/>
      </w:r>
      <w:r>
        <w:rPr>
          <w:rFonts w:hint="eastAsia" w:ascii="楷体_GB2312" w:eastAsia="楷体_GB2312"/>
          <w:lang w:val="en-US" w:eastAsia="zh-CN"/>
        </w:rPr>
        <w:t>4</w:t>
      </w:r>
      <w:r>
        <w:rPr>
          <w:rFonts w:ascii="楷体_GB2312" w:eastAsia="楷体_GB2312"/>
        </w:rPr>
        <w:t>.2.2</w:t>
      </w:r>
      <w:r>
        <w:rPr>
          <w:rFonts w:hint="eastAsia" w:ascii="楷体_GB2312" w:eastAsia="楷体_GB2312"/>
        </w:rPr>
        <w:t xml:space="preserve"> 跑车</w:t>
      </w:r>
      <w:r>
        <w:rPr>
          <w:rFonts w:ascii="楷体_GB2312" w:eastAsia="楷体_GB2312"/>
        </w:rPr>
        <w:t>试验结果与分析</w:t>
      </w:r>
      <w:r>
        <w:tab/>
      </w:r>
      <w:r>
        <w:fldChar w:fldCharType="begin"/>
      </w:r>
      <w:r>
        <w:instrText xml:space="preserve"> PAGEREF _Toc3379 </w:instrText>
      </w:r>
      <w:r>
        <w:fldChar w:fldCharType="separate"/>
      </w:r>
      <w:r>
        <w:t>18</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_Toc4471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_Toc4471 </w:instrText>
      </w:r>
      <w:r>
        <w:fldChar w:fldCharType="separate"/>
      </w:r>
      <w:r>
        <w:t>21</w:t>
      </w:r>
      <w:r>
        <w:fldChar w:fldCharType="end"/>
      </w:r>
      <w:r>
        <w:fldChar w:fldCharType="end"/>
      </w:r>
    </w:p>
    <w:p>
      <w:pPr>
        <w:pStyle w:val="38"/>
        <w:numPr>
          <w:ilvl w:val="0"/>
          <w:numId w:val="0"/>
        </w:numPr>
        <w:tabs>
          <w:tab w:val="clear" w:pos="3462"/>
        </w:tabs>
        <w:spacing w:line="360" w:lineRule="auto"/>
        <w:ind w:left="3458" w:leftChars="0" w:hanging="3458" w:hangingChars="1441"/>
        <w:jc w:val="center"/>
      </w:pPr>
      <w:r>
        <w:fldChar w:fldCharType="end"/>
      </w:r>
      <w:bookmarkStart w:id="15" w:name="_Toc317777146"/>
      <w:bookmarkStart w:id="16" w:name="_Toc312074210"/>
      <w:bookmarkStart w:id="17" w:name="_Toc383866656"/>
      <w:bookmarkStart w:id="18" w:name="_Toc317780789"/>
    </w:p>
    <w:p>
      <w:pPr>
        <w:pStyle w:val="38"/>
        <w:ind w:left="3462" w:leftChars="0" w:hanging="432" w:firstLineChars="0"/>
        <w:rPr>
          <w:rFonts w:hint="eastAsia" w:ascii="楷体_GB2312" w:eastAsia="楷体_GB2312"/>
          <w:b/>
          <w:bCs/>
          <w:kern w:val="0"/>
          <w:szCs w:val="24"/>
          <w:lang w:val="en-US" w:eastAsia="zh-CN" w:bidi="ar-SA"/>
        </w:rPr>
      </w:pPr>
      <w:r>
        <w:br w:type="page"/>
      </w:r>
      <w:bookmarkStart w:id="19" w:name="_Toc30230"/>
      <w:r>
        <w:rPr>
          <w:rFonts w:hint="eastAsia"/>
          <w:lang w:val="en-US" w:eastAsia="zh-CN"/>
        </w:rPr>
        <w:t>检测概况及说明</w:t>
      </w:r>
      <w:bookmarkEnd w:id="19"/>
    </w:p>
    <w:p>
      <w:pPr>
        <w:pStyle w:val="3"/>
        <w:numPr>
          <w:ilvl w:val="1"/>
          <w:numId w:val="3"/>
        </w:numPr>
        <w:spacing w:before="0" w:after="0" w:line="360" w:lineRule="exact"/>
        <w:jc w:val="left"/>
        <w:rPr>
          <w:rFonts w:hint="eastAsia" w:ascii="楷体_GB2312" w:hAnsi="楷体_GB2312" w:eastAsia="楷体_GB2312"/>
          <w:sz w:val="24"/>
          <w:szCs w:val="24"/>
        </w:rPr>
      </w:pPr>
      <w:bookmarkStart w:id="20" w:name="_Toc18714"/>
      <w:r>
        <w:rPr>
          <w:rFonts w:hint="eastAsia" w:ascii="楷体_GB2312" w:hAnsi="楷体_GB2312" w:eastAsia="楷体_GB2312"/>
          <w:sz w:val="24"/>
          <w:szCs w:val="24"/>
        </w:rPr>
        <w:t>工程概况</w:t>
      </w:r>
      <w:bookmarkEnd w:id="20"/>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1" w:name="_Ref345"/>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1"/>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2" w:name="_Toc7953"/>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2"/>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3" w:name="_Toc2574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3"/>
    </w:p>
    <w:p>
      <w:pPr>
        <w:spacing w:line="400" w:lineRule="exact"/>
        <w:ind w:firstLine="480" w:firstLineChars="200"/>
        <w:rPr>
          <w:rFonts w:hint="eastAsia" w:ascii="楷体_GB2312" w:eastAsia="楷体_GB2312"/>
          <w:bCs/>
          <w:sz w:val="24"/>
        </w:rPr>
      </w:pPr>
      <w:bookmarkStart w:id="24"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4"/>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5" w:name="_Toc24703"/>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5"/>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6" w:name="_Toc24401"/>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6"/>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7" w:name="_Toc17241"/>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7"/>
    </w:p>
    <w:p>
      <w:pPr>
        <w:pStyle w:val="3"/>
        <w:spacing w:before="0" w:after="0" w:line="360" w:lineRule="auto"/>
        <w:jc w:val="left"/>
        <w:rPr>
          <w:rFonts w:hint="eastAsia" w:ascii="楷体_GB2312" w:hAnsi="楷体_GB2312" w:eastAsia="楷体_GB2312" w:cs="楷体_GB2312"/>
          <w:color w:val="auto"/>
          <w:sz w:val="24"/>
          <w:szCs w:val="24"/>
        </w:rPr>
      </w:pPr>
      <w:bookmarkStart w:id="28" w:name="_Toc256000263"/>
      <w:bookmarkStart w:id="29" w:name="_Toc490813827"/>
      <w:bookmarkStart w:id="30" w:name="_Toc256000042"/>
      <w:bookmarkStart w:id="31" w:name="_Toc256000246"/>
      <w:bookmarkStart w:id="32" w:name="_Toc435103113"/>
      <w:bookmarkStart w:id="33" w:name="_Toc256000008"/>
      <w:bookmarkStart w:id="34" w:name="_Toc256000059"/>
      <w:bookmarkStart w:id="35" w:name="_Toc256000127"/>
      <w:bookmarkStart w:id="36" w:name="_Toc256000195"/>
      <w:bookmarkStart w:id="37" w:name="_Toc256000229"/>
      <w:bookmarkStart w:id="38" w:name="_Toc256000331"/>
      <w:bookmarkStart w:id="39" w:name="_Toc256000280"/>
      <w:bookmarkStart w:id="40" w:name="_Toc256000025"/>
      <w:bookmarkStart w:id="41" w:name="_Toc3938"/>
      <w:bookmarkStart w:id="42" w:name="_Toc23226"/>
      <w:bookmarkStart w:id="43" w:name="_Toc256000297"/>
      <w:bookmarkStart w:id="44" w:name="_Toc436324216"/>
      <w:bookmarkStart w:id="45" w:name="_Toc256000110"/>
      <w:bookmarkStart w:id="46" w:name="_Toc256000093"/>
      <w:bookmarkStart w:id="47" w:name="_Toc256000178"/>
      <w:bookmarkStart w:id="48" w:name="_Toc256000161"/>
      <w:bookmarkStart w:id="49" w:name="_Toc256000076"/>
      <w:bookmarkStart w:id="50" w:name="_Toc24849"/>
      <w:bookmarkStart w:id="51" w:name="_Toc256000314"/>
      <w:bookmarkStart w:id="52" w:name="_Toc256000212"/>
      <w:bookmarkStart w:id="53" w:name="_Toc3381"/>
      <w:r>
        <w:rPr>
          <w:rFonts w:hint="eastAsia" w:ascii="楷体_GB2312" w:hAnsi="楷体_GB2312" w:eastAsia="楷体_GB2312" w:cs="楷体_GB2312"/>
          <w:color w:val="auto"/>
          <w:sz w:val="24"/>
          <w:szCs w:val="24"/>
        </w:rPr>
        <w:t>2.1 桥面系检查结果</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4" w:name="_Toc256000111"/>
      <w:bookmarkStart w:id="55" w:name="_Toc16706"/>
      <w:bookmarkStart w:id="56" w:name="_Toc256000196"/>
      <w:bookmarkStart w:id="57" w:name="_Toc256000009"/>
      <w:bookmarkStart w:id="58" w:name="_Toc256000298"/>
      <w:bookmarkStart w:id="59" w:name="_Toc5239"/>
      <w:bookmarkStart w:id="60" w:name="_Toc256000043"/>
      <w:bookmarkStart w:id="61" w:name="_Toc256000230"/>
      <w:bookmarkStart w:id="62" w:name="_Toc256000145"/>
      <w:bookmarkStart w:id="63" w:name="_Toc256000281"/>
      <w:bookmarkStart w:id="64" w:name="_Toc256000247"/>
      <w:bookmarkStart w:id="65" w:name="_Toc256000315"/>
      <w:bookmarkStart w:id="66" w:name="_Toc6098"/>
      <w:bookmarkStart w:id="67" w:name="_Toc256000162"/>
      <w:bookmarkStart w:id="68" w:name="_Toc256000332"/>
      <w:bookmarkStart w:id="69" w:name="_Toc256000060"/>
      <w:bookmarkStart w:id="70" w:name="_Toc256000094"/>
      <w:bookmarkStart w:id="71" w:name="_Toc256000213"/>
      <w:bookmarkStart w:id="72" w:name="_Toc256000179"/>
      <w:bookmarkStart w:id="73" w:name="_Toc256000264"/>
      <w:bookmarkStart w:id="74" w:name="_Toc256000128"/>
      <w:bookmarkStart w:id="75" w:name="_Toc256000026"/>
      <w:bookmarkStart w:id="76" w:name="_Toc256000077"/>
      <w:bookmarkStart w:id="77" w:name="_Toc18298"/>
      <w:r>
        <w:rPr>
          <w:rFonts w:hint="eastAsia" w:ascii="楷体_GB2312" w:hAnsi="楷体_GB2312" w:eastAsia="楷体_GB2312" w:cs="楷体_GB2312"/>
          <w:color w:val="auto"/>
          <w:sz w:val="24"/>
          <w:szCs w:val="24"/>
        </w:rPr>
        <w:t>2.2 上部结构检查结果</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8" w:name="_Toc256000163"/>
      <w:bookmarkStart w:id="79" w:name="_Toc256000146"/>
      <w:bookmarkStart w:id="80" w:name="_Toc256000129"/>
      <w:bookmarkStart w:id="81" w:name="_Toc256000316"/>
      <w:bookmarkStart w:id="82" w:name="_Toc256000197"/>
      <w:bookmarkStart w:id="83" w:name="_Toc256000299"/>
      <w:bookmarkStart w:id="84" w:name="_Toc256000231"/>
      <w:bookmarkStart w:id="85" w:name="_Toc256000265"/>
      <w:bookmarkStart w:id="86" w:name="_Toc256000214"/>
      <w:bookmarkStart w:id="87" w:name="_Toc256000078"/>
      <w:bookmarkStart w:id="88" w:name="_Toc256000333"/>
      <w:bookmarkStart w:id="89" w:name="_Toc2961"/>
      <w:bookmarkStart w:id="90" w:name="_Toc256000180"/>
      <w:bookmarkStart w:id="91" w:name="_Toc256000095"/>
      <w:bookmarkStart w:id="92" w:name="_Toc256000248"/>
      <w:bookmarkStart w:id="93" w:name="_Toc9121"/>
      <w:bookmarkStart w:id="94" w:name="_Toc256000282"/>
      <w:bookmarkStart w:id="95" w:name="_Toc25482"/>
      <w:bookmarkStart w:id="96" w:name="_Toc256000044"/>
      <w:bookmarkStart w:id="97" w:name="_Toc490813829"/>
      <w:bookmarkStart w:id="98" w:name="_Toc256000061"/>
      <w:bookmarkStart w:id="99" w:name="_Toc256000010"/>
      <w:bookmarkStart w:id="100" w:name="_Toc256000112"/>
      <w:bookmarkStart w:id="101" w:name="_Toc9235"/>
      <w:r>
        <w:rPr>
          <w:rFonts w:hint="eastAsia" w:ascii="楷体_GB2312" w:hAnsi="楷体_GB2312" w:eastAsia="楷体_GB2312" w:cs="楷体_GB2312"/>
          <w:color w:val="auto"/>
          <w:sz w:val="24"/>
          <w:szCs w:val="24"/>
        </w:rPr>
        <w:t>2.3 下部结构检查结果</w:t>
      </w:r>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2" w:name="_Toc13118"/>
      <w:r>
        <w:rPr>
          <w:rFonts w:hint="eastAsia" w:ascii="楷体_GB2312" w:eastAsia="楷体_GB2312"/>
          <w:kern w:val="0"/>
          <w:sz w:val="24"/>
          <w:szCs w:val="24"/>
        </w:rPr>
        <w:t>桥梁静载试验</w:t>
      </w:r>
      <w:bookmarkEnd w:id="102"/>
    </w:p>
    <w:p>
      <w:pPr>
        <w:pStyle w:val="3"/>
        <w:numPr>
          <w:ilvl w:val="1"/>
          <w:numId w:val="3"/>
        </w:numPr>
        <w:spacing w:before="0" w:after="0" w:line="360" w:lineRule="exact"/>
        <w:jc w:val="left"/>
        <w:rPr>
          <w:rFonts w:hint="eastAsia" w:ascii="楷体_GB2312" w:hAnsi="楷体_GB2312" w:eastAsia="楷体_GB2312"/>
          <w:sz w:val="24"/>
          <w:szCs w:val="24"/>
        </w:rPr>
      </w:pPr>
      <w:bookmarkStart w:id="103" w:name="_Toc327"/>
      <w:r>
        <w:rPr>
          <w:rFonts w:hint="eastAsia" w:ascii="楷体_GB2312" w:hAnsi="楷体_GB2312" w:eastAsia="楷体_GB2312"/>
          <w:sz w:val="24"/>
          <w:szCs w:val="24"/>
        </w:rPr>
        <w:t>静载试验概况</w:t>
      </w:r>
      <w:bookmarkEnd w:id="103"/>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4" w:name="_Toc31858"/>
      <w:bookmarkStart w:id="105" w:name="_Toc470253994"/>
      <w:bookmarkStart w:id="106" w:name="_Toc398305882"/>
      <w:bookmarkStart w:id="107" w:name="_Toc398541186"/>
      <w:bookmarkStart w:id="108" w:name="_Toc399658317"/>
      <w:bookmarkStart w:id="109" w:name="_Toc399150332"/>
      <w:bookmarkStart w:id="110" w:name="_Toc19741"/>
      <w:bookmarkStart w:id="111" w:name="_Toc14043"/>
      <w:bookmarkStart w:id="112" w:name="_Toc12599"/>
      <w:bookmarkStart w:id="113" w:name="_Toc394613369"/>
      <w:bookmarkStart w:id="114" w:name="_Toc17248"/>
      <w:bookmarkStart w:id="115" w:name="_Toc399517690"/>
      <w:bookmarkStart w:id="116" w:name="_Toc9539"/>
      <w:r>
        <w:rPr>
          <w:rFonts w:hint="eastAsia" w:ascii="楷体_GB2312" w:eastAsia="楷体_GB2312"/>
          <w:b/>
          <w:sz w:val="24"/>
          <w:lang w:val="en-US" w:eastAsia="zh-CN"/>
        </w:rPr>
        <w:t>3</w:t>
      </w:r>
      <w:r>
        <w:rPr>
          <w:rFonts w:hint="eastAsia" w:ascii="楷体_GB2312" w:eastAsia="楷体_GB2312"/>
          <w:b/>
          <w:sz w:val="24"/>
        </w:rPr>
        <w:t>.1.1 试验荷载</w:t>
      </w:r>
      <w:bookmarkEnd w:id="104"/>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470253995"/>
      <w:bookmarkStart w:id="119" w:name="_Toc16323"/>
      <w:bookmarkStart w:id="120" w:name="_Toc399658318"/>
      <w:bookmarkStart w:id="121" w:name="_Toc399150333"/>
      <w:bookmarkStart w:id="122" w:name="_Toc399517691"/>
      <w:bookmarkStart w:id="123" w:name="_Toc21954"/>
      <w:bookmarkStart w:id="124" w:name="_Toc29612"/>
      <w:bookmarkStart w:id="125" w:name="_Toc13361"/>
      <w:bookmarkStart w:id="126" w:name="_Toc23349"/>
      <w:bookmarkStart w:id="127" w:name="_Toc19705"/>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bookmarkEnd w:id="127"/>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8"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9"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30" w:name="_Ref292270072"/>
      <w:r>
        <w:rPr>
          <w:rFonts w:hint="eastAsia" w:ascii="楷体_GB2312" w:hAnsi="Times New Roman" w:eastAsia="楷体_GB2312" w:cs="Times New Roman"/>
          <w:b/>
          <w:bCs/>
          <w:sz w:val="24"/>
          <w:szCs w:val="24"/>
        </w:rPr>
        <w:t>表</w:t>
      </w:r>
      <w:bookmarkEnd w:id="130"/>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8"/>
    <w:bookmarkEnd w:id="129"/>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1" w:name="_Ref353538765"/>
      <w:r>
        <w:rPr>
          <w:rFonts w:hint="eastAsia" w:ascii="楷体_GB2312" w:hAnsi="宋体" w:eastAsia="楷体_GB2312"/>
          <w:sz w:val="24"/>
          <w:szCs w:val="24"/>
        </w:rPr>
        <w:t>图</w:t>
      </w:r>
      <w:bookmarkEnd w:id="131"/>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2" w:name="_Toc394613371"/>
      <w:bookmarkStart w:id="133" w:name="_Toc10717"/>
      <w:bookmarkStart w:id="134" w:name="_Toc20568"/>
      <w:bookmarkStart w:id="135" w:name="_Toc6169"/>
      <w:bookmarkStart w:id="136" w:name="_Toc7673"/>
      <w:bookmarkStart w:id="137" w:name="_Toc1638"/>
      <w:bookmarkStart w:id="138" w:name="_Toc399517692"/>
      <w:bookmarkStart w:id="139" w:name="_Toc399150334"/>
      <w:bookmarkStart w:id="140" w:name="_Toc399658319"/>
      <w:bookmarkStart w:id="141" w:name="_Toc470253996"/>
      <w:bookmarkStart w:id="142" w:name="_Toc398305884"/>
      <w:bookmarkStart w:id="143" w:name="_Toc398541188"/>
      <w:bookmarkStart w:id="144" w:name="_Toc8451"/>
      <w:r>
        <w:rPr>
          <w:rFonts w:hint="eastAsia" w:ascii="楷体_GB2312" w:eastAsia="楷体_GB2312"/>
          <w:b/>
          <w:sz w:val="24"/>
          <w:lang w:val="en-US" w:eastAsia="zh-CN"/>
        </w:rPr>
        <w:t>3</w:t>
      </w:r>
      <w:r>
        <w:rPr>
          <w:rFonts w:hint="eastAsia" w:ascii="楷体_GB2312" w:eastAsia="楷体_GB2312"/>
          <w:b/>
          <w:sz w:val="24"/>
        </w:rPr>
        <w:t>.1.3 测点布置</w:t>
      </w:r>
      <w:bookmarkEnd w:id="132"/>
      <w:bookmarkEnd w:id="133"/>
      <w:bookmarkEnd w:id="134"/>
      <w:bookmarkEnd w:id="135"/>
      <w:bookmarkEnd w:id="136"/>
      <w:bookmarkEnd w:id="137"/>
      <w:bookmarkEnd w:id="138"/>
      <w:bookmarkEnd w:id="139"/>
      <w:bookmarkEnd w:id="140"/>
      <w:bookmarkEnd w:id="141"/>
      <w:bookmarkEnd w:id="142"/>
      <w:bookmarkEnd w:id="143"/>
      <w:bookmarkEnd w:id="144"/>
    </w:p>
    <w:p>
      <w:pPr>
        <w:spacing w:line="400" w:lineRule="exact"/>
        <w:ind w:firstLine="480" w:firstLineChars="200"/>
        <w:rPr>
          <w:rFonts w:hint="eastAsia" w:ascii="楷体_GB2312" w:eastAsia="楷体_GB2312"/>
          <w:sz w:val="24"/>
        </w:rPr>
      </w:pPr>
      <w:bookmarkStart w:id="145" w:name="_Toc277773927"/>
      <w:r>
        <w:rPr>
          <w:rFonts w:hint="eastAsia" w:ascii="楷体_GB2312" w:eastAsia="楷体_GB2312"/>
          <w:sz w:val="24"/>
        </w:rPr>
        <w:t>(1)挠度测点</w:t>
      </w:r>
      <w:bookmarkEnd w:id="145"/>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6" w:name="_Toc399150335"/>
      <w:bookmarkStart w:id="147" w:name="_Toc399517693"/>
      <w:bookmarkStart w:id="148" w:name="_Toc399658320"/>
      <w:bookmarkStart w:id="149" w:name="_Toc851"/>
      <w:bookmarkStart w:id="150" w:name="_Toc1291"/>
      <w:bookmarkStart w:id="151" w:name="_Toc31615"/>
      <w:bookmarkStart w:id="152" w:name="_Toc470253997"/>
      <w:bookmarkStart w:id="153" w:name="_Toc14538"/>
      <w:bookmarkStart w:id="154" w:name="_Toc26545"/>
      <w:bookmarkStart w:id="155" w:name="_Toc28880"/>
      <w:r>
        <w:rPr>
          <w:rFonts w:hint="eastAsia" w:ascii="楷体_GB2312" w:eastAsia="楷体_GB2312"/>
          <w:b/>
          <w:sz w:val="24"/>
          <w:lang w:val="en-US" w:eastAsia="zh-CN"/>
        </w:rPr>
        <w:t>3</w:t>
      </w:r>
      <w:r>
        <w:rPr>
          <w:rFonts w:hint="eastAsia" w:ascii="楷体_GB2312" w:eastAsia="楷体_GB2312"/>
          <w:b/>
          <w:sz w:val="24"/>
        </w:rPr>
        <w:t>.1.4 加载</w:t>
      </w:r>
      <w:bookmarkEnd w:id="146"/>
      <w:bookmarkEnd w:id="147"/>
      <w:bookmarkEnd w:id="148"/>
      <w:r>
        <w:rPr>
          <w:rFonts w:hint="eastAsia" w:ascii="楷体_GB2312" w:eastAsia="楷体_GB2312"/>
          <w:b/>
          <w:sz w:val="24"/>
        </w:rPr>
        <w:t>过程</w:t>
      </w:r>
      <w:bookmarkEnd w:id="149"/>
      <w:bookmarkEnd w:id="150"/>
      <w:bookmarkEnd w:id="151"/>
      <w:bookmarkEnd w:id="152"/>
      <w:bookmarkEnd w:id="153"/>
      <w:bookmarkEnd w:id="154"/>
      <w:bookmarkEnd w:id="155"/>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6" w:name="_Toc21851"/>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6"/>
    </w:p>
    <w:p>
      <w:pPr>
        <w:spacing w:line="400" w:lineRule="exact"/>
        <w:outlineLvl w:val="2"/>
        <w:rPr>
          <w:rFonts w:hint="eastAsia" w:ascii="楷体_GB2312" w:eastAsia="楷体_GB2312"/>
          <w:b/>
          <w:sz w:val="24"/>
        </w:rPr>
      </w:pPr>
      <w:bookmarkStart w:id="157" w:name="_Toc5805"/>
      <w:bookmarkStart w:id="158" w:name="_Toc22485"/>
      <w:bookmarkStart w:id="159" w:name="_Toc7901"/>
      <w:bookmarkStart w:id="160" w:name="_Toc30591"/>
      <w:bookmarkStart w:id="161" w:name="_Toc17622"/>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7"/>
      <w:bookmarkEnd w:id="158"/>
      <w:bookmarkEnd w:id="159"/>
      <w:bookmarkEnd w:id="160"/>
      <w:bookmarkEnd w:id="161"/>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62" w:name="ReportStart"/>
      <w:bookmarkEnd w:id="162"/>
      <w:r>
        <w:rPr>
          <w:rFonts w:hint="eastAsia" w:cs="Times New Roman"/>
          <w:color w:val="auto"/>
          <w:sz w:val="24"/>
          <w:lang w:eastAsia="zh-CN"/>
        </w:rPr>
        <w:t>工况一主梁挠度检测结果详见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_Ref13720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。检测结果表明，所测主梁的挠度校验系数在0.39～0.54之间，相对残余变形在0.00%～0.00%之间。</w:t>
      </w:r>
    </w:p>
    <w:p>
      <w:pPr>
        <w:pStyle w:val="15"/>
        <w:snapToGrid w:val="0"/>
        <w:spacing w:line="400" w:lineRule="exact"/>
        <w:ind w:firstLine="0" w:firstLineChars="0"/>
        <w:jc w:val="center"/>
        <w:rPr>
          <w:rFonts w:hint="eastAsia" w:cs="Times New Roman"/>
          <w:color w:val="auto"/>
          <w:sz w:val="24"/>
          <w:lang w:eastAsia="zh-CN"/>
        </w:rPr>
      </w:pPr>
      <w:bookmarkStart w:id="163" w:name="_Ref13720"/>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bookmarkEnd w:id="163"/>
      <w:r>
        <w:rPr>
          <w:rFonts w:hint="eastAsia" w:cs="Times New Roman"/>
          <w:color w:val="auto"/>
          <w:sz w:val="24"/>
          <w:lang w:eastAsia="zh-CN"/>
        </w:rPr>
        <w:t xml:space="preserve"> 工况一挠度检测结果汇总表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02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400" w:lineRule="exact"/>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c>
          <w:tcPr>
            <w:tcW w:w="1240" w:type="dxa"/>
            <w:vMerge w:val="continue"/>
            <w:vAlign w:val="center"/>
          </w:tcPr>
          <w:p>
            <w:pPr>
              <w:snapToGrid w:val="0"/>
              <w:spacing w:line="400" w:lineRule="exact"/>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0.80</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2.07</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0.39</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0.78</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1.70</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0.46</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0.22</w:t>
            </w:r>
          </w:p>
        </w:tc>
        <w:tc>
          <w:tcPr>
            <w:tcW w:w="120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0.41</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0.54</w:t>
            </w:r>
          </w:p>
        </w:tc>
        <w:tc>
          <w:tcPr>
            <w:tcW w:w="1240" w:type="dxa"/>
            <w:vAlign w:val="center"/>
          </w:tcPr>
          <w:p>
            <w:pPr>
              <w:snapToGrid w:val="0"/>
              <w:spacing w:line="400" w:lineRule="exact"/>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400" w:lineRule="exact"/>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2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4" w:name="_Ref1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End w:id="164"/>
      <w:r>
        <w:rPr>
          <w:rFonts w:hint="eastAsia" w:cs="Times New Roman"/>
          <w:color w:val="auto"/>
          <w:sz w:val="24"/>
          <w:lang w:eastAsia="zh-CN"/>
        </w:rPr>
        <w:t xml:space="preserve"> 工况一挠度实测值与理论计算值的关系曲线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工况一测试截面测点应变检测结果详见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_Ref12116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_Ref22241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cs="Times New Roman"/>
          <w:color w:val="auto"/>
          <w:sz w:val="24"/>
          <w:lang w:eastAsia="zh-CN"/>
        </w:rPr>
        <w:fldChar w:fldCharType="end"/>
      </w:r>
      <w:r>
        <w:rPr>
          <w:rFonts w:hint="eastAsia" w:cs="Times New Roman"/>
          <w:color w:val="auto"/>
          <w:sz w:val="24"/>
          <w:lang w:eastAsia="zh-CN"/>
        </w:rPr>
        <w:t>。检测结果表明，所测主梁的应变校验系数在0.24～0.47之间，相对残余应变在0.00%～0.00%之间。</w:t>
      </w:r>
    </w:p>
    <w:p>
      <w:pPr>
        <w:pStyle w:val="15"/>
        <w:snapToGrid w:val="0"/>
        <w:spacing w:line="240" w:lineRule="auto"/>
        <w:ind w:firstLine="0" w:firstLineChars="0"/>
        <w:jc w:val="center"/>
        <w:rPr>
          <w:rFonts w:hint="eastAsia" w:cs="Times New Roman"/>
          <w:color w:val="auto"/>
          <w:sz w:val="24"/>
          <w:lang w:eastAsia="zh-CN"/>
        </w:rPr>
      </w:pPr>
      <w:bookmarkStart w:id="165" w:name="_Ref121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bookmarkEnd w:id="165"/>
      <w:r>
        <w:rPr>
          <w:rFonts w:hint="eastAsia" w:cs="Times New Roman"/>
          <w:color w:val="auto"/>
          <w:sz w:val="24"/>
          <w:lang w:eastAsia="zh-CN"/>
        </w:rPr>
        <w:t xml:space="preserve"> 工况一应变检测结果汇总表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A-2</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A-3</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0.24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1"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6" w:name="_Ref22241"/>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End w:id="166"/>
      <w:r>
        <w:rPr>
          <w:rFonts w:hint="eastAsia" w:cs="Times New Roman"/>
          <w:color w:val="auto"/>
          <w:sz w:val="24"/>
          <w:lang w:eastAsia="zh-CN"/>
        </w:rPr>
        <w:t xml:space="preserve"> 工况一应变实测值与理论计算值的关系曲线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工况二主梁挠度检测结果详见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_Ref29541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，挠度实测值与理论计算值的关系曲线详见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_Ref25427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cs="Times New Roman"/>
          <w:color w:val="auto"/>
          <w:sz w:val="24"/>
          <w:lang w:eastAsia="zh-CN"/>
        </w:rPr>
        <w:fldChar w:fldCharType="end"/>
      </w:r>
      <w:r>
        <w:rPr>
          <w:rFonts w:hint="eastAsia" w:cs="Times New Roman"/>
          <w:color w:val="auto"/>
          <w:sz w:val="24"/>
          <w:lang w:eastAsia="zh-CN"/>
        </w:rPr>
        <w:t>。检测结果表明，所测主梁的挠度校验系数在0.53～0.58之间，相对残余变形在0.00%～4.41%之间。</w:t>
      </w:r>
    </w:p>
    <w:p>
      <w:pPr>
        <w:pStyle w:val="15"/>
        <w:snapToGrid w:val="0"/>
        <w:spacing w:line="240" w:lineRule="auto"/>
        <w:ind w:firstLine="0" w:firstLineChars="0"/>
        <w:jc w:val="center"/>
        <w:rPr>
          <w:rFonts w:hint="eastAsia" w:cs="Times New Roman"/>
          <w:color w:val="auto"/>
          <w:sz w:val="24"/>
          <w:lang w:eastAsia="zh-CN"/>
        </w:rPr>
      </w:pPr>
      <w:bookmarkStart w:id="167" w:name="_Ref29541"/>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bookmarkEnd w:id="167"/>
      <w:r>
        <w:rPr>
          <w:rFonts w:hint="eastAsia" w:cs="Times New Roman"/>
          <w:color w:val="auto"/>
          <w:sz w:val="24"/>
          <w:lang w:eastAsia="zh-CN"/>
        </w:rPr>
        <w:t xml:space="preserve"> 工况二挠度检测结果汇总表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实测值(mm)</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满载理论值(mm)</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相对残余变形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弹性变形</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残余变形</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A-4</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1.54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0.06</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2.88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2.04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0.09</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4.41%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3.95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1.75%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2.43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2.39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0.04</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1.65%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2.27</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2.24</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0.03</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3.84</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1.32%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1.91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0.53</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68" w:name="_Ref25427"/>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End w:id="168"/>
      <w:r>
        <w:rPr>
          <w:rFonts w:hint="eastAsia" w:cs="Times New Roman"/>
          <w:color w:val="auto"/>
          <w:sz w:val="24"/>
          <w:lang w:eastAsia="zh-CN"/>
        </w:rPr>
        <w:t xml:space="preserve"> 工况二挠度实测值与理论计算值的关系曲线</w:t>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t>工况二测试截面测点应变检测结果详见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_Ref24765 \h </w:instrText>
      </w:r>
      <w:r>
        <w:rPr>
          <w:rFonts w:hint="eastAsia" w:cs="Times New Roman"/>
          <w:color w:val="auto"/>
          <w:sz w:val="24"/>
          <w:lang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r>
        <w:rPr>
          <w:rFonts w:hint="eastAsia" w:cs="Times New Roman"/>
          <w:color w:val="auto"/>
          <w:sz w:val="24"/>
          <w:lang w:eastAsia="zh-CN"/>
        </w:rPr>
        <w:t>，应变实测值与理论计算值的关系曲线详见</w:t>
      </w:r>
      <w:r>
        <w:rPr>
          <w:rFonts w:hint="eastAsia" w:cs="Times New Roman"/>
          <w:color w:val="auto"/>
          <w:sz w:val="24"/>
          <w:lang w:eastAsia="zh-CN"/>
        </w:rPr>
        <w:fldChar w:fldCharType="begin"/>
      </w:r>
      <w:r>
        <w:rPr>
          <w:rFonts w:hint="eastAsia" w:cs="Times New Roman"/>
          <w:color w:val="auto"/>
          <w:sz w:val="24"/>
          <w:lang w:eastAsia="zh-CN"/>
        </w:rPr>
        <w:instrText xml:space="preserve"> REF _Ref6162 \h </w:instrText>
      </w:r>
      <w:r>
        <w:rPr>
          <w:rFonts w:hint="eastAsia" w:cs="Times New Roman"/>
          <w:color w:val="auto"/>
          <w:sz w:val="24"/>
          <w:lang w:eastAsia="zh-CN"/>
        </w:rPr>
        <w:fldChar w:fldCharType="separate"/>
      </w:r>
      <w:r>
        <w:t xml:space="preserve">图 </w:t>
      </w:r>
      <w:r>
        <w:fldChar w:fldCharType="begin"/>
      </w:r>
      <w:r>
        <w:instrText xml:space="preserve"> STYLEREF 1 \s </w:instrText>
      </w:r>
      <w:r>
        <w:fldChar w:fldCharType="separate"/>
      </w:r>
      <w:r>
        <w:t>3</w:t>
      </w:r>
      <w:r>
        <w:fldChar w:fldCharType="end"/>
      </w:r>
      <w:r>
        <w:rPr>
          <w:rFonts w:hint="eastAsia"/>
          <w:lang w:eastAsia="zh-CN"/>
        </w:rPr>
        <w:t>-</w:t>
      </w:r>
      <w:r>
        <w:t>5</w:t>
      </w:r>
      <w:r>
        <w:rPr>
          <w:rFonts w:hint="eastAsia" w:cs="Times New Roman"/>
          <w:color w:val="auto"/>
          <w:sz w:val="24"/>
          <w:lang w:eastAsia="zh-CN"/>
        </w:rPr>
        <w:fldChar w:fldCharType="end"/>
      </w:r>
      <w:bookmarkStart w:id="219" w:name="_GoBack"/>
      <w:bookmarkEnd w:id="219"/>
      <w:r>
        <w:rPr>
          <w:rFonts w:hint="eastAsia" w:cs="Times New Roman"/>
          <w:color w:val="auto"/>
          <w:sz w:val="24"/>
          <w:lang w:eastAsia="zh-CN"/>
        </w:rPr>
        <w:t>。检测结果表明，所测主梁的应变校验系数在0.36～0.50之间，相对残余应变在0.00%～3.33%之间。</w:t>
      </w:r>
    </w:p>
    <w:p>
      <w:pPr>
        <w:pStyle w:val="15"/>
        <w:snapToGrid w:val="0"/>
        <w:spacing w:line="240" w:lineRule="auto"/>
        <w:ind w:firstLine="0" w:firstLineChars="0"/>
        <w:jc w:val="center"/>
        <w:rPr>
          <w:rFonts w:hint="eastAsia" w:cs="Times New Roman"/>
          <w:color w:val="auto"/>
          <w:sz w:val="24"/>
          <w:lang w:eastAsia="zh-CN"/>
        </w:rPr>
      </w:pPr>
      <w:bookmarkStart w:id="169" w:name="_Ref247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bookmarkEnd w:id="169"/>
      <w:r>
        <w:rPr>
          <w:rFonts w:hint="eastAsia" w:cs="Times New Roman"/>
          <w:color w:val="auto"/>
          <w:sz w:val="24"/>
          <w:lang w:eastAsia="zh-CN"/>
        </w:rPr>
        <w:t xml:space="preserve"> 工况二应变检测结果汇总表</w:t>
      </w:r>
    </w:p>
    <w:tbl>
      <w:tblPr>
        <w:tblStyle w:val="33"/>
        <w:tblW w:w="8480" w:type="dxa"/>
        <w:jc w:val="center"/>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
      <w:tblGrid>
        <w:gridCol w:w="1040"/>
        <w:gridCol w:w="1020"/>
        <w:gridCol w:w="1200"/>
        <w:gridCol w:w="1200"/>
        <w:gridCol w:w="1540"/>
        <w:gridCol w:w="1240"/>
        <w:gridCol w:w="124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测点号</w:t>
            </w:r>
          </w:p>
        </w:tc>
        <w:tc>
          <w:tcPr>
            <w:tcW w:w="3420" w:type="dxa"/>
            <w:gridSpan w:val="3"/>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实测值(με)</w:t>
            </w:r>
          </w:p>
        </w:tc>
        <w:tc>
          <w:tcPr>
            <w:tcW w:w="15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满载理论值(με)</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校验系数</w:t>
            </w:r>
          </w:p>
        </w:tc>
        <w:tc>
          <w:tcPr>
            <w:tcW w:w="1240" w:type="dxa"/>
            <w:vMerge w:val="restart"/>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相对残余应变</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02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总应变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弹性应变</w:t>
            </w:r>
          </w:p>
        </w:tc>
        <w:tc>
          <w:tcPr>
            <w:tcW w:w="1200" w:type="dxa"/>
            <w:vAlign w:val="center"/>
          </w:tcPr>
          <w:p>
            <w:pPr>
              <w:snapToGrid w:val="0"/>
              <w:spacing w:line="240" w:lineRule="auto"/>
              <w:jc w:val="center"/>
              <w:rPr>
                <w:rFonts w:hint="eastAsia" w:cs="Times New Roman"/>
                <w:b/>
                <w:color w:val="auto"/>
                <w:sz w:val="24"/>
                <w:vertAlign w:val="baseline"/>
                <w:lang w:eastAsia="zh-CN"/>
              </w:rPr>
            </w:pPr>
            <w:r>
              <w:rPr>
                <w:rFonts w:hint="eastAsia" w:cs="Times New Roman"/>
                <w:b/>
                <w:color w:val="auto"/>
                <w:sz w:val="24"/>
                <w:vertAlign w:val="baseline"/>
                <w:lang w:eastAsia="zh-CN"/>
              </w:rPr>
              <w:t>残余应变</w:t>
            </w:r>
          </w:p>
        </w:tc>
        <w:tc>
          <w:tcPr>
            <w:tcW w:w="15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c>
          <w:tcPr>
            <w:tcW w:w="1240" w:type="dxa"/>
            <w:vMerge w:val="continue"/>
            <w:vAlign w:val="center"/>
          </w:tcPr>
          <w:p>
            <w:pPr>
              <w:snapToGrid w:val="0"/>
              <w:spacing w:line="240" w:lineRule="auto"/>
              <w:jc w:val="center"/>
              <w:rPr>
                <w:rFonts w:hint="eastAsia" w:cs="Times New Roman"/>
                <w:color w:val="auto"/>
                <w:sz w:val="24"/>
                <w:vertAlign w:val="baseline"/>
                <w:lang w:eastAsia="zh-CN"/>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A-5</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32</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67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0.48</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A-6</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30</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29</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1</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81</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0.36</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3.33%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A-7</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A-8</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90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0.50</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A-9</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41</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87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left w:w="108" w:type="dxa"/>
            <w:right w:w="108" w:type="dxa"/>
          </w:tblCellMar>
        </w:tblPrEx>
        <w:trPr>
          <w:jc w:val="center"/>
        </w:trPr>
        <w:tc>
          <w:tcPr>
            <w:tcW w:w="10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A-10</w:t>
            </w:r>
          </w:p>
        </w:tc>
        <w:tc>
          <w:tcPr>
            <w:tcW w:w="102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35</w:t>
            </w:r>
          </w:p>
        </w:tc>
        <w:tc>
          <w:tcPr>
            <w:tcW w:w="120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w:t>
            </w:r>
          </w:p>
        </w:tc>
        <w:tc>
          <w:tcPr>
            <w:tcW w:w="15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75</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0.47</w:t>
            </w:r>
          </w:p>
        </w:tc>
        <w:tc>
          <w:tcPr>
            <w:tcW w:w="1240" w:type="dxa"/>
            <w:vAlign w:val="center"/>
          </w:tcPr>
          <w:p>
            <w:pPr>
              <w:snapToGrid w:val="0"/>
              <w:spacing w:line="240" w:lineRule="auto"/>
              <w:jc w:val="center"/>
              <w:rPr>
                <w:rFonts w:hint="eastAsia" w:cs="Times New Roman"/>
                <w:color w:val="auto"/>
                <w:sz w:val="24"/>
                <w:vertAlign w:val="baseline"/>
                <w:lang w:eastAsia="zh-CN"/>
              </w:rPr>
            </w:pPr>
            <w:r>
              <w:rPr>
                <w:rFonts w:hint="eastAsia" w:cs="Times New Roman"/>
                <w:color w:val="auto"/>
                <w:sz w:val="24"/>
                <w:vertAlign w:val="baseline"/>
                <w:lang w:eastAsia="zh-CN"/>
              </w:rPr>
              <w:t>0.00%</w:t>
            </w:r>
          </w:p>
        </w:tc>
      </w:tr>
    </w:tbl>
    <w:p>
      <w:pPr>
        <w:snapToGrid w:val="0"/>
        <w:spacing w:line="240" w:lineRule="auto"/>
        <w:ind w:firstLine="0" w:firstLineChars="0"/>
        <w:jc w:val="center"/>
        <w:rPr>
          <w:rFonts w:hint="eastAsia" w:cs="Times New Roman"/>
          <w:color w:val="auto"/>
          <w:sz w:val="24"/>
          <w:lang w:eastAsia="zh-CN"/>
        </w:rPr>
      </w:pPr>
    </w:p>
    <w:p>
      <w:pPr>
        <w:snapToGrid w:val="0"/>
        <w:spacing w:line="240" w:lineRule="auto"/>
        <w:ind w:firstLine="0" w:firstLineChars="0"/>
        <w:jc w:val="center"/>
        <w:rPr>
          <w:rFonts w:hint="eastAsia" w:cs="Times New Roman"/>
          <w:color w:val="auto"/>
          <w:sz w:val="24"/>
          <w:lang w:eastAsia="zh-CN"/>
        </w:rPr>
      </w:pPr>
      <w:r>
        <w:drawing>
          <wp:inline distT="0" distB="0" distL="114300" distR="114300">
            <wp:extent cx="4445000" cy="2794000"/>
            <wp:effectExtent l="4445" t="4445" r="8255" b="20955"/>
            <wp:docPr id="32"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pPr>
        <w:pStyle w:val="15"/>
        <w:snapToGrid w:val="0"/>
        <w:spacing w:line="240" w:lineRule="auto"/>
        <w:ind w:firstLine="0" w:firstLineChars="0"/>
        <w:jc w:val="center"/>
        <w:rPr>
          <w:rFonts w:hint="eastAsia" w:cs="Times New Roman"/>
          <w:color w:val="auto"/>
          <w:sz w:val="24"/>
          <w:lang w:eastAsia="zh-CN"/>
        </w:rPr>
      </w:pPr>
      <w:bookmarkStart w:id="170" w:name="_Ref6162"/>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End w:id="170"/>
      <w:r>
        <w:rPr>
          <w:rFonts w:hint="eastAsia" w:cs="Times New Roman"/>
          <w:color w:val="auto"/>
          <w:sz w:val="24"/>
          <w:lang w:eastAsia="zh-CN"/>
        </w:rPr>
        <w:t xml:space="preserve"> 工况二应变实测值与理论计算值的关系曲线</w:t>
      </w:r>
    </w:p>
    <w:p>
      <w:pPr>
        <w:snapToGrid w:val="0"/>
        <w:spacing w:line="240" w:lineRule="auto"/>
        <w:ind w:firstLine="0" w:firstLineChars="0"/>
        <w:jc w:val="center"/>
        <w:rPr>
          <w:rFonts w:hint="eastAsia" w:cs="Times New Roman"/>
          <w:color w:val="auto"/>
          <w:sz w:val="24"/>
          <w:lang w:eastAsia="zh-CN"/>
        </w:rPr>
      </w:pPr>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71" w:name="_Toc428612478"/>
      <w:r>
        <w:rPr>
          <w:rFonts w:hint="eastAsia" w:ascii="楷体_GB2312" w:eastAsia="楷体_GB2312"/>
          <w:sz w:val="24"/>
        </w:rPr>
        <w:t>试验过程中，桥梁各部件工作状况未见明显异常。</w:t>
      </w:r>
    </w:p>
    <w:bookmarkEnd w:id="171"/>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72" w:name="_Toc5185"/>
      <w:r>
        <w:rPr>
          <w:rFonts w:hint="eastAsia" w:ascii="楷体_GB2312" w:eastAsia="楷体_GB2312"/>
          <w:kern w:val="0"/>
          <w:sz w:val="24"/>
          <w:szCs w:val="24"/>
        </w:rPr>
        <w:t>桥梁动载试验</w:t>
      </w:r>
      <w:bookmarkEnd w:id="172"/>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73" w:name="_Toc11482"/>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73"/>
    </w:p>
    <w:p>
      <w:pPr>
        <w:spacing w:line="420" w:lineRule="exact"/>
        <w:outlineLvl w:val="2"/>
        <w:rPr>
          <w:rFonts w:hint="eastAsia" w:ascii="楷体_GB2312" w:eastAsia="楷体_GB2312"/>
          <w:b/>
          <w:sz w:val="24"/>
        </w:rPr>
      </w:pPr>
      <w:bookmarkStart w:id="174" w:name="_Toc4862"/>
      <w:bookmarkStart w:id="175" w:name="_Toc470254002"/>
      <w:bookmarkStart w:id="176" w:name="_Toc3632"/>
      <w:bookmarkStart w:id="177" w:name="_Toc13414"/>
      <w:bookmarkStart w:id="178" w:name="_Toc20151"/>
      <w:bookmarkStart w:id="179" w:name="_Toc15999"/>
      <w:bookmarkStart w:id="180" w:name="_Toc27958"/>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4"/>
      <w:bookmarkEnd w:id="175"/>
      <w:bookmarkEnd w:id="176"/>
      <w:bookmarkEnd w:id="177"/>
      <w:bookmarkEnd w:id="178"/>
      <w:bookmarkEnd w:id="179"/>
      <w:bookmarkEnd w:id="180"/>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60"/>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81" w:name="_Toc27192"/>
      <w:bookmarkStart w:id="182" w:name="_Toc31067"/>
      <w:bookmarkStart w:id="183" w:name="_Toc470254003"/>
      <w:bookmarkStart w:id="184" w:name="_Toc26839"/>
      <w:bookmarkStart w:id="185" w:name="_Toc10124"/>
      <w:bookmarkStart w:id="186" w:name="_Toc15313"/>
      <w:bookmarkStart w:id="187" w:name="_Toc29082"/>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81"/>
      <w:bookmarkEnd w:id="182"/>
      <w:bookmarkEnd w:id="183"/>
      <w:bookmarkEnd w:id="184"/>
      <w:bookmarkEnd w:id="185"/>
      <w:bookmarkEnd w:id="186"/>
      <w:bookmarkEnd w:id="187"/>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61"/>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62"/>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8" w:name="_Toc10294"/>
      <w:r>
        <w:rPr>
          <w:rFonts w:hint="eastAsia" w:ascii="楷体_GB2312" w:hAnsi="楷体_GB2312" w:eastAsia="楷体_GB2312"/>
          <w:sz w:val="24"/>
          <w:szCs w:val="24"/>
        </w:rPr>
        <w:t>跑车</w:t>
      </w:r>
      <w:r>
        <w:rPr>
          <w:rFonts w:ascii="楷体_GB2312" w:hAnsi="楷体_GB2312" w:eastAsia="楷体_GB2312"/>
          <w:sz w:val="24"/>
          <w:szCs w:val="24"/>
        </w:rPr>
        <w:t>试验</w:t>
      </w:r>
      <w:bookmarkEnd w:id="188"/>
    </w:p>
    <w:p>
      <w:pPr>
        <w:spacing w:line="420" w:lineRule="exact"/>
        <w:outlineLvl w:val="2"/>
        <w:rPr>
          <w:rFonts w:ascii="楷体_GB2312" w:eastAsia="楷体_GB2312"/>
          <w:b/>
          <w:sz w:val="24"/>
        </w:rPr>
      </w:pPr>
      <w:bookmarkStart w:id="189" w:name="_Toc441501458"/>
      <w:bookmarkStart w:id="190" w:name="_Toc470254005"/>
      <w:bookmarkStart w:id="191" w:name="_Toc25568"/>
      <w:bookmarkStart w:id="192" w:name="_Toc19248"/>
      <w:bookmarkStart w:id="193" w:name="_Toc23758"/>
      <w:bookmarkStart w:id="194" w:name="_Toc25528"/>
      <w:bookmarkStart w:id="195" w:name="_Toc24133"/>
      <w:bookmarkStart w:id="196" w:name="_Toc15477"/>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9"/>
      <w:bookmarkEnd w:id="190"/>
      <w:bookmarkEnd w:id="191"/>
      <w:bookmarkEnd w:id="192"/>
      <w:bookmarkEnd w:id="193"/>
      <w:bookmarkEnd w:id="194"/>
      <w:bookmarkEnd w:id="195"/>
      <w:bookmarkEnd w:id="196"/>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63"/>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7" w:name="_Toc2599"/>
      <w:bookmarkStart w:id="198" w:name="_Toc17104"/>
      <w:bookmarkStart w:id="199" w:name="_Toc8944"/>
      <w:bookmarkStart w:id="200" w:name="_Toc22607"/>
      <w:bookmarkStart w:id="201" w:name="_Toc441501459"/>
      <w:bookmarkStart w:id="202" w:name="_Toc470254006"/>
      <w:bookmarkStart w:id="203" w:name="_Toc31600"/>
      <w:bookmarkStart w:id="204" w:name="_Toc3379"/>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7"/>
      <w:bookmarkEnd w:id="198"/>
      <w:bookmarkEnd w:id="199"/>
      <w:bookmarkEnd w:id="200"/>
      <w:bookmarkEnd w:id="201"/>
      <w:bookmarkEnd w:id="202"/>
      <w:bookmarkEnd w:id="203"/>
      <w:bookmarkEnd w:id="204"/>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4"/>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5"/>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6"/>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7"/>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8"/>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9"/>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5"/>
      <w:bookmarkEnd w:id="16"/>
      <w:bookmarkEnd w:id="17"/>
      <w:bookmarkEnd w:id="18"/>
      <w:bookmarkStart w:id="205" w:name="_Toc256000040"/>
      <w:bookmarkStart w:id="206" w:name="_Toc11255"/>
      <w:bookmarkStart w:id="207" w:name="_Toc256000027"/>
      <w:bookmarkStart w:id="208" w:name="_Toc256000092"/>
      <w:bookmarkStart w:id="209" w:name="_Toc256000053"/>
      <w:bookmarkStart w:id="210" w:name="_Toc256000079"/>
      <w:bookmarkStart w:id="211" w:name="_Toc256000105"/>
      <w:bookmarkStart w:id="212" w:name="_Toc26195"/>
      <w:bookmarkStart w:id="213" w:name="_Toc256000014"/>
      <w:bookmarkStart w:id="214" w:name="_Toc256000066"/>
      <w:bookmarkStart w:id="215" w:name="_Toc256000144"/>
      <w:bookmarkStart w:id="216" w:name="_Toc256000118"/>
      <w:bookmarkStart w:id="217" w:name="_Toc256000131"/>
      <w:bookmarkStart w:id="218" w:name="_Toc4471"/>
      <w:r>
        <w:rPr>
          <w:rStyle w:val="49"/>
          <w:rFonts w:hint="eastAsia" w:ascii="楷体_GB2312" w:hAnsi="楷体_GB2312" w:eastAsia="楷体_GB2312" w:cs="楷体_GB2312"/>
          <w:sz w:val="24"/>
          <w:szCs w:val="24"/>
          <w:lang w:val="en-US" w:eastAsia="zh-CN"/>
        </w:rPr>
        <w:t>附件  现场检测照片</w:t>
      </w:r>
      <w:bookmarkEnd w:id="205"/>
      <w:bookmarkEnd w:id="206"/>
      <w:bookmarkEnd w:id="207"/>
      <w:bookmarkEnd w:id="208"/>
      <w:bookmarkEnd w:id="209"/>
      <w:bookmarkEnd w:id="210"/>
      <w:bookmarkEnd w:id="211"/>
      <w:bookmarkEnd w:id="212"/>
      <w:bookmarkEnd w:id="213"/>
      <w:bookmarkEnd w:id="214"/>
      <w:bookmarkEnd w:id="215"/>
      <w:bookmarkEnd w:id="216"/>
      <w:bookmarkEnd w:id="217"/>
    </w:p>
    <w:bookmarkEnd w:id="218"/>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7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7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ispChartTitle1" w:val="工况一挠度实测值与理论计算值的关系曲线"/>
    <w:docVar w:name="dispChartTitle2" w:val="工况二挠度实测值与理论计算值的关系曲线"/>
    <w:docVar w:name="dispResult1" w:val="(1)在工况一荷载作用下，主梁最大实测弹性挠度值为0.80mm，实测控制截面的挠度值均小于理论值，校验系数在0.39～0.54之间；相对残余变形在0.00%～0.00%之间。"/>
    <w:docVar w:name="dispResult2" w:val="(2)在工况二荷载作用下，主梁最大实测弹性挠度值为2.39mm，实测控制截面的挠度值均小于理论值，校验系数在0.53～0.58之间；相对残余变形在0.00%～4.41%之间。"/>
    <w:docVar w:name="dispSummary1" w:val="工况一主梁挠度检测结果详见dispTbCrossRef1，挠度实测值与理论计算值的关系曲线详见dispGraphCrossRef1。检测结果表明，所测主梁的挠度校验系数在0.39～0.54之间，相对残余变形在0.00%～0.00%之间。"/>
    <w:docVar w:name="dispSummary2" w:val="工况二主梁挠度检测结果详见dispTbCrossRef2，挠度实测值与理论计算值的关系曲线详见dispGraphCrossRef2。检测结果表明，所测主梁的挠度校验系数在0.53～0.58之间，相对残余变形在0.00%～4.41%之间。"/>
    <w:docVar w:name="dispTbTitle1" w:val="工况一挠度检测结果汇总表"/>
    <w:docVar w:name="dispTbTitle2" w:val="工况二挠度检测结果汇总表"/>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trainChartTitle1" w:val="工况一应变实测值与理论计算值的关系曲线"/>
    <w:docVar w:name="strainChartTitle2" w:val="工况二应变实测值与理论计算值的关系曲线"/>
    <w:docVar w:name="strainResult1" w:val="(1)在工况一荷载作用下，所测主梁最大弹性应变为15με，实测控制截面的混凝土应变值均小于理论值，校验系数在0.24～0.47之间；相对残余应变在0.00%～0.00%之间。"/>
    <w:docVar w:name="strainResult2" w:val="(2)在工况二荷载作用下，所测主梁最大弹性应变为45με，实测控制截面的混凝土应变值均小于理论值，校验系数在0.36～0.50之间；相对残余应变在0.00%～3.33%之间。"/>
    <w:docVar w:name="strainSummary1" w:val="工况一测试截面测点应变检测结果详见strainTbCrossRef1，应变实测值与理论计算值的关系曲线详见strainGraphCrossRef1。检测结果表明，所测主梁的应变校验系数在0.24～0.47之间，相对残余应变在0.00%～0.00%之间。"/>
    <w:docVar w:name="strainSummary2" w:val="工况二测试截面测点应变检测结果详见strainTbCrossRef2，应变实测值与理论计算值的关系曲线详见strainGraphCrossRef2。检测结果表明，所测主梁的应变校验系数在0.36～0.50之间，相对残余应变在0.00%～3.33%之间。"/>
    <w:docVar w:name="strainTbTitle1" w:val="工况一应变检测结果汇总表"/>
    <w:docVar w:name="strainTbTitle2" w:val="工况二应变检测结果汇总表"/>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1A0E"/>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377C41"/>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21300C"/>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A01825"/>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qFormat/>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48.jpeg"/><Relationship Id="rId74" Type="http://schemas.openxmlformats.org/officeDocument/2006/relationships/image" Target="media/image47.jpeg"/><Relationship Id="rId73" Type="http://schemas.openxmlformats.org/officeDocument/2006/relationships/image" Target="media/image46.jpeg"/><Relationship Id="rId72" Type="http://schemas.openxmlformats.org/officeDocument/2006/relationships/image" Target="media/image45.jpeg"/><Relationship Id="rId71" Type="http://schemas.openxmlformats.org/officeDocument/2006/relationships/image" Target="media/image44.jpeg"/><Relationship Id="rId70" Type="http://schemas.openxmlformats.org/officeDocument/2006/relationships/image" Target="media/image43.jpeg"/><Relationship Id="rId7" Type="http://schemas.openxmlformats.org/officeDocument/2006/relationships/image" Target="media/image1.wmf"/><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oleObject" Target="embeddings/oleObject1.bin"/><Relationship Id="rId59" Type="http://schemas.openxmlformats.org/officeDocument/2006/relationships/chart" Target="charts/chart4.xml"/><Relationship Id="rId58" Type="http://schemas.openxmlformats.org/officeDocument/2006/relationships/chart" Target="charts/chart3.xml"/><Relationship Id="rId57" Type="http://schemas.openxmlformats.org/officeDocument/2006/relationships/chart" Target="charts/chart2.xml"/><Relationship Id="rId56" Type="http://schemas.openxmlformats.org/officeDocument/2006/relationships/chart" Target="charts/chart1.xml"/><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E:\vsProjects\AutoReport\&#33258;&#21160;&#25253;&#21578;&#20027;&#31243;&#24207;.xlsm"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E:\vsProjects\AutoReport\&#33258;&#21160;&#25253;&#21578;&#20027;&#31243;&#24207;.xlsm"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E:\vsProjects\AutoReport\&#33258;&#21160;&#25253;&#21578;&#20027;&#31243;&#24207;.xlsm"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E:\vsProjects\AutoReport\&#33258;&#21160;&#25253;&#21578;&#20027;&#31243;&#24207;.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[自动报告主程序.xlsm]挠度!$F$13:$F$16</c:f>
              <c:numCache>
                <c:formatCode>0.00_ </c:formatCode>
                <c:ptCount val="4"/>
                <c:pt idx="0">
                  <c:v>2.07</c:v>
                </c:pt>
                <c:pt idx="1">
                  <c:v>1.91</c:v>
                </c:pt>
                <c:pt idx="2">
                  <c:v>1.7</c:v>
                </c:pt>
                <c:pt idx="3">
                  <c:v>0.41</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[自动报告主程序.xlsm]挠度!$B$13:$B$16</c:f>
              <c:strCache>
                <c:ptCount val="4"/>
                <c:pt idx="0" c:formatCode="0.00">
                  <c:v>A-1</c:v>
                </c:pt>
                <c:pt idx="1" c:formatCode="0.00">
                  <c:v>A-2</c:v>
                </c:pt>
                <c:pt idx="2" c:formatCode="0.00">
                  <c:v>A-3</c:v>
                </c:pt>
                <c:pt idx="3" c:formatCode="0.00">
                  <c:v>A-4</c:v>
                </c:pt>
              </c:strCache>
            </c:strRef>
          </c:cat>
          <c:val>
            <c:numRef>
              <c:f>[自动报告主程序.xlsm]挠度!$Q$13:$Q$16</c:f>
              <c:numCache>
                <c:formatCode>0.00_ </c:formatCode>
                <c:ptCount val="4"/>
                <c:pt idx="0">
                  <c:v>0.799999999999997</c:v>
                </c:pt>
                <c:pt idx="1">
                  <c:v>0.780000000000001</c:v>
                </c:pt>
                <c:pt idx="2">
                  <c:v>0.780000000000008</c:v>
                </c:pt>
                <c:pt idx="3">
                  <c:v>0.219999999999999</c:v>
                </c:pt>
              </c:numCache>
            </c:numRef>
          </c:val>
          <c:smooth val="0"/>
        </c:ser>
        <c:dLbls>
          <c:showLegendKey val="0"/>
          <c:showVal val="0"/>
          <c:showCatName val="0"/>
          <c:showSerName val="0"/>
          <c:showPercent val="0"/>
          <c:showBubbleSize val="0"/>
        </c:dLbls>
        <c:marker val="1"/>
        <c:smooth val="0"/>
        <c:axId val="300510363"/>
        <c:axId val="484061451"/>
      </c:lineChart>
      <c:catAx>
        <c:axId val="3005103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84061451"/>
        <c:crosses val="autoZero"/>
        <c:auto val="1"/>
        <c:lblAlgn val="ctr"/>
        <c:lblOffset val="100"/>
        <c:noMultiLvlLbl val="0"/>
      </c:catAx>
      <c:valAx>
        <c:axId val="4840614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005103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[自动报告主程序.xlsm]应变!$J$15:$J$18</c:f>
              <c:numCache>
                <c:formatCode>0_ </c:formatCode>
                <c:ptCount val="4"/>
                <c:pt idx="0">
                  <c:v>43</c:v>
                </c:pt>
                <c:pt idx="1">
                  <c:v>41</c:v>
                </c:pt>
                <c:pt idx="2">
                  <c:v>32</c:v>
                </c:pt>
                <c:pt idx="3">
                  <c:v>29</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[自动报告主程序.xlsm]应变!$B$15:$B$18</c:f>
              <c:strCache>
                <c:ptCount val="4"/>
                <c:pt idx="0" c:formatCode="0.00">
                  <c:v>A-1</c:v>
                </c:pt>
                <c:pt idx="1" c:formatCode="0.00">
                  <c:v>A-2</c:v>
                </c:pt>
                <c:pt idx="2" c:formatCode="0.00">
                  <c:v>A-3</c:v>
                </c:pt>
                <c:pt idx="3" c:formatCode="0.00">
                  <c:v>A-4</c:v>
                </c:pt>
              </c:strCache>
            </c:strRef>
          </c:cat>
          <c:val>
            <c:numRef>
              <c:f>[自动报告主程序.xlsm]应变!$AB$15:$AB$18</c:f>
              <c:numCache>
                <c:formatCode>0_ </c:formatCode>
                <c:ptCount val="4"/>
                <c:pt idx="0">
                  <c:v>15</c:v>
                </c:pt>
                <c:pt idx="1">
                  <c:v>15</c:v>
                </c:pt>
                <c:pt idx="2">
                  <c:v>15</c:v>
                </c:pt>
                <c:pt idx="3">
                  <c:v>7</c:v>
                </c:pt>
              </c:numCache>
            </c:numRef>
          </c:val>
          <c:smooth val="0"/>
        </c:ser>
        <c:dLbls>
          <c:showLegendKey val="0"/>
          <c:showVal val="0"/>
          <c:showCatName val="0"/>
          <c:showSerName val="0"/>
          <c:showPercent val="0"/>
          <c:showBubbleSize val="0"/>
        </c:dLbls>
        <c:marker val="1"/>
        <c:smooth val="0"/>
        <c:axId val="699884332"/>
        <c:axId val="364336093"/>
      </c:lineChart>
      <c:catAx>
        <c:axId val="6998843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4336093"/>
        <c:crosses val="autoZero"/>
        <c:auto val="1"/>
        <c:lblAlgn val="ctr"/>
        <c:lblOffset val="100"/>
        <c:noMultiLvlLbl val="0"/>
      </c:catAx>
      <c:valAx>
        <c:axId val="36433609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9988433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[自动报告主程序.xlsm]挠度!$F$17:$F$22</c:f>
              <c:numCache>
                <c:formatCode>0.00_ </c:formatCode>
                <c:ptCount val="6"/>
                <c:pt idx="0">
                  <c:v>2.88</c:v>
                </c:pt>
                <c:pt idx="1">
                  <c:v>3.51</c:v>
                </c:pt>
                <c:pt idx="2">
                  <c:v>3.95</c:v>
                </c:pt>
                <c:pt idx="3">
                  <c:v>4.1</c:v>
                </c:pt>
                <c:pt idx="4">
                  <c:v>3.84</c:v>
                </c:pt>
                <c:pt idx="5">
                  <c:v>3.58</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[自动报告主程序.xlsm]挠度!$B$17:$B$22</c:f>
              <c:strCache>
                <c:ptCount val="6"/>
                <c:pt idx="0" c:formatCode="0.00">
                  <c:v>A-4</c:v>
                </c:pt>
                <c:pt idx="1" c:formatCode="0.00">
                  <c:v>A-5</c:v>
                </c:pt>
                <c:pt idx="2" c:formatCode="0.00">
                  <c:v>A-6</c:v>
                </c:pt>
                <c:pt idx="3" c:formatCode="0.00">
                  <c:v>A-7</c:v>
                </c:pt>
                <c:pt idx="4" c:formatCode="0.00">
                  <c:v>A-8</c:v>
                </c:pt>
                <c:pt idx="5" c:formatCode="0.00">
                  <c:v>A-9</c:v>
                </c:pt>
              </c:strCache>
            </c:strRef>
          </c:cat>
          <c:val>
            <c:numRef>
              <c:f>[自动报告主程序.xlsm]挠度!$Q$17:$Q$22</c:f>
              <c:numCache>
                <c:formatCode>0.00_ </c:formatCode>
                <c:ptCount val="6"/>
                <c:pt idx="0">
                  <c:v>1.54</c:v>
                </c:pt>
                <c:pt idx="1">
                  <c:v>1.95</c:v>
                </c:pt>
                <c:pt idx="2">
                  <c:v>2.25</c:v>
                </c:pt>
                <c:pt idx="3">
                  <c:v>2.39</c:v>
                </c:pt>
                <c:pt idx="4">
                  <c:v>2.24000000000001</c:v>
                </c:pt>
                <c:pt idx="5">
                  <c:v>1.91</c:v>
                </c:pt>
              </c:numCache>
            </c:numRef>
          </c:val>
          <c:smooth val="0"/>
        </c:ser>
        <c:dLbls>
          <c:showLegendKey val="0"/>
          <c:showVal val="0"/>
          <c:showCatName val="0"/>
          <c:showSerName val="0"/>
          <c:showPercent val="0"/>
          <c:showBubbleSize val="0"/>
        </c:dLbls>
        <c:marker val="1"/>
        <c:smooth val="0"/>
        <c:axId val="682175682"/>
        <c:axId val="45876710"/>
      </c:lineChart>
      <c:catAx>
        <c:axId val="68217568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45876710"/>
        <c:crosses val="autoZero"/>
        <c:auto val="1"/>
        <c:lblAlgn val="ctr"/>
        <c:lblOffset val="100"/>
        <c:noMultiLvlLbl val="0"/>
      </c:catAx>
      <c:valAx>
        <c:axId val="4587671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挠度值（mm）</a:t>
                </a:r>
              </a:p>
            </c:rich>
          </c:tx>
          <c:layout/>
          <c:overlay val="0"/>
          <c:spPr>
            <a:noFill/>
            <a:ln>
              <a:noFill/>
            </a:ln>
            <a:effectLst/>
          </c:spPr>
        </c:title>
        <c:numFmt formatCode="#,##0.00_ " sourceLinked="0"/>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82175682"/>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"理论值"</c:f>
              <c:strCache>
                <c:ptCount val="1"/>
                <c:pt idx="0">
                  <c:v>理论值</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[自动报告主程序.xlsm]应变!$J$19:$J$24</c:f>
              <c:numCache>
                <c:formatCode>0_ </c:formatCode>
                <c:ptCount val="6"/>
                <c:pt idx="0">
                  <c:v>67</c:v>
                </c:pt>
                <c:pt idx="1">
                  <c:v>81</c:v>
                </c:pt>
                <c:pt idx="2">
                  <c:v>87</c:v>
                </c:pt>
                <c:pt idx="3">
                  <c:v>90</c:v>
                </c:pt>
                <c:pt idx="4">
                  <c:v>87</c:v>
                </c:pt>
                <c:pt idx="5">
                  <c:v>75</c:v>
                </c:pt>
              </c:numCache>
            </c:numRef>
          </c:val>
          <c:smooth val="0"/>
        </c:ser>
        <c:ser>
          <c:idx val="1"/>
          <c:order val="1"/>
          <c:tx>
            <c:strRef>
              <c:f>"实测值"</c:f>
              <c:strCache>
                <c:ptCount val="1"/>
                <c:pt idx="0">
                  <c:v>实测值</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[自动报告主程序.xlsm]应变!$B$19:$B$24</c:f>
              <c:strCache>
                <c:ptCount val="6"/>
                <c:pt idx="0" c:formatCode="0.00">
                  <c:v>A-5</c:v>
                </c:pt>
                <c:pt idx="1" c:formatCode="0.00">
                  <c:v>A-6</c:v>
                </c:pt>
                <c:pt idx="2" c:formatCode="0.00">
                  <c:v>A-7</c:v>
                </c:pt>
                <c:pt idx="3" c:formatCode="0.00">
                  <c:v>A-8</c:v>
                </c:pt>
                <c:pt idx="4" c:formatCode="0.00">
                  <c:v>A-9</c:v>
                </c:pt>
                <c:pt idx="5" c:formatCode="0.00">
                  <c:v>A-10</c:v>
                </c:pt>
              </c:strCache>
            </c:strRef>
          </c:cat>
          <c:val>
            <c:numRef>
              <c:f>[自动报告主程序.xlsm]应变!$AB$19:$AB$24</c:f>
              <c:numCache>
                <c:formatCode>0_ </c:formatCode>
                <c:ptCount val="6"/>
                <c:pt idx="0">
                  <c:v>32</c:v>
                </c:pt>
                <c:pt idx="1">
                  <c:v>29</c:v>
                </c:pt>
                <c:pt idx="2">
                  <c:v>35</c:v>
                </c:pt>
                <c:pt idx="3">
                  <c:v>45</c:v>
                </c:pt>
                <c:pt idx="4">
                  <c:v>41</c:v>
                </c:pt>
                <c:pt idx="5">
                  <c:v>35</c:v>
                </c:pt>
              </c:numCache>
            </c:numRef>
          </c:val>
          <c:smooth val="0"/>
        </c:ser>
        <c:dLbls>
          <c:showLegendKey val="0"/>
          <c:showVal val="0"/>
          <c:showCatName val="0"/>
          <c:showSerName val="0"/>
          <c:showPercent val="0"/>
          <c:showBubbleSize val="0"/>
        </c:dLbls>
        <c:marker val="1"/>
        <c:smooth val="0"/>
        <c:axId val="271643204"/>
        <c:axId val="368260696"/>
      </c:lineChart>
      <c:catAx>
        <c:axId val="2716432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68260696"/>
        <c:crosses val="autoZero"/>
        <c:auto val="1"/>
        <c:lblAlgn val="ctr"/>
        <c:lblOffset val="100"/>
        <c:noMultiLvlLbl val="0"/>
      </c:catAx>
      <c:valAx>
        <c:axId val="368260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t>应变（με）</a:t>
                </a:r>
              </a:p>
            </c:rich>
          </c:tx>
          <c:layout/>
          <c:overlay val="0"/>
          <c:spPr>
            <a:noFill/>
            <a:ln>
              <a:noFill/>
            </a:ln>
            <a:effectLst/>
          </c:spPr>
        </c:title>
        <c:numFmt formatCode="0_ "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271643204"/>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2019-04-18T12:36:41Z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