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700.8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679.0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729.2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16.09%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602.7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585.8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707.1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674.4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665.4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7.71%</w:t>
            </w:r>
          </w:p>
        </w:tc>
      </w:tr>
      <w:bookmarkEnd w:id="0"/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304" w:bottom="1440" w:left="153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4672C1"/>
    <w:rsid w:val="004A5980"/>
    <w:rsid w:val="006A607D"/>
    <w:rsid w:val="008B795E"/>
    <w:rsid w:val="008C4B48"/>
    <w:rsid w:val="009D1FA9"/>
    <w:rsid w:val="00EB1A02"/>
    <w:rsid w:val="00FD68E4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7F0436B"/>
    <w:rsid w:val="4E6D31B3"/>
    <w:rsid w:val="53D43119"/>
    <w:rsid w:val="578A18D3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4</Pages>
  <Words>294</Words>
  <Characters>1680</Characters>
  <Lines>14</Lines>
  <Paragraphs>3</Paragraphs>
  <TotalTime>0</TotalTime>
  <ScaleCrop>false</ScaleCrop>
  <LinksUpToDate>false</LinksUpToDate>
  <CharactersWithSpaces>1971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2019-02-01T07:48:56Z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