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_Toc21699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_Toc21699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_Toc20379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_Toc20379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_Toc4009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_Toc4009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_Toc878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_Toc878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_Toc31553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_Toc31553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_Toc3472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1699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0379"/>
      <w:bookmarkStart w:id="6" w:name="_Toc213559470"/>
      <w:bookmarkStart w:id="7" w:name="_Toc246932294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00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878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31553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3472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3" w:name="dispRawTb1"/>
            <w:bookmarkEnd w:id="23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6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7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4" w:name="dispRawTb2"/>
            <w:bookmarkEnd w:id="24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8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7" w:name="_GoBack"/>
      <w:bookmarkEnd w:id="27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5" w:name="dispRawTb3"/>
            <w:bookmarkEnd w:id="25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19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6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End w:id="26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21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22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19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20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21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22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23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28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26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30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27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31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32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30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33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34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AD24D12"/>
    <w:rsid w:val="411E3427"/>
    <w:rsid w:val="59BA579F"/>
    <w:rsid w:val="5F6A312D"/>
    <w:rsid w:val="635A2483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2.png"/><Relationship Id="rId45" Type="http://schemas.openxmlformats.org/officeDocument/2006/relationships/image" Target="media/image31.emf"/><Relationship Id="rId44" Type="http://schemas.openxmlformats.org/officeDocument/2006/relationships/image" Target="media/image30.emf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emf"/><Relationship Id="rId40" Type="http://schemas.openxmlformats.org/officeDocument/2006/relationships/image" Target="media/image26.emf"/><Relationship Id="rId4" Type="http://schemas.openxmlformats.org/officeDocument/2006/relationships/header" Target="header2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emf"/><Relationship Id="rId36" Type="http://schemas.openxmlformats.org/officeDocument/2006/relationships/image" Target="media/image22.emf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emf"/><Relationship Id="rId32" Type="http://schemas.openxmlformats.org/officeDocument/2006/relationships/image" Target="media/image18.emf"/><Relationship Id="rId31" Type="http://schemas.openxmlformats.org/officeDocument/2006/relationships/image" Target="media/image17.png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4304333"/>
        <c:axId val="373323410"/>
      </c:lineChart>
      <c:catAx>
        <c:axId val="79430433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323410"/>
        <c:crosses val="autoZero"/>
        <c:auto val="1"/>
        <c:lblAlgn val="ctr"/>
        <c:lblOffset val="100"/>
        <c:noMultiLvlLbl val="0"/>
      </c:catAx>
      <c:valAx>
        <c:axId val="3733234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4304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245183"/>
        <c:axId val="124955284"/>
      </c:lineChart>
      <c:catAx>
        <c:axId val="61024518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4955284"/>
        <c:crosses val="autoZero"/>
        <c:auto val="1"/>
        <c:lblAlgn val="ctr"/>
        <c:lblOffset val="100"/>
        <c:noMultiLvlLbl val="0"/>
      </c:catAx>
      <c:valAx>
        <c:axId val="1249552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24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559756"/>
        <c:axId val="450181560"/>
      </c:lineChart>
      <c:catAx>
        <c:axId val="26755975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0181560"/>
        <c:crosses val="autoZero"/>
        <c:auto val="1"/>
        <c:lblAlgn val="ctr"/>
        <c:lblOffset val="100"/>
        <c:noMultiLvlLbl val="0"/>
      </c:catAx>
      <c:valAx>
        <c:axId val="45018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75597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424326"/>
        <c:axId val="808068186"/>
      </c:lineChart>
      <c:catAx>
        <c:axId val="64342432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068186"/>
        <c:crosses val="autoZero"/>
        <c:auto val="1"/>
        <c:lblAlgn val="ctr"/>
        <c:lblOffset val="100"/>
        <c:noMultiLvlLbl val="0"/>
      </c:catAx>
      <c:valAx>
        <c:axId val="8080681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34243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9840247"/>
        <c:axId val="665658915"/>
      </c:lineChart>
      <c:catAx>
        <c:axId val="97984024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658915"/>
        <c:crosses val="autoZero"/>
        <c:auto val="1"/>
        <c:lblAlgn val="ctr"/>
        <c:lblOffset val="100"/>
        <c:noMultiLvlLbl val="0"/>
      </c:catAx>
      <c:valAx>
        <c:axId val="6656589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40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13147"/>
        <c:axId val="409968922"/>
      </c:lineChart>
      <c:catAx>
        <c:axId val="12711314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968922"/>
        <c:crosses val="autoZero"/>
        <c:auto val="1"/>
        <c:lblAlgn val="ctr"/>
        <c:lblOffset val="100"/>
        <c:noMultiLvlLbl val="0"/>
      </c:catAx>
      <c:valAx>
        <c:axId val="4099689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1131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2019-03-12T07:23:26Z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