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bookmarkStart w:id="16" w:name="_GoBack"/>
      <w:bookmarkEnd w:id="16"/>
      <w:r>
        <w:rPr>
          <w:rFonts w:hint="eastAsia" w:ascii="楷体_GB2312" w:eastAsia="楷体_GB2312"/>
          <w:bCs/>
          <w:sz w:val="24"/>
          <w:lang w:eastAsia="zh-CN"/>
        </w:rPr>
        <w:t>仅供参考</w:t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0" w:name="dispTable1"/>
      <w:bookmarkEnd w:id="0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" w:name="dispChart1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表x-x 工况一应变检测结果汇总表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strainTable1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9.27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7.55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5.46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8.86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16.29%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28.99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15.65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5.83%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23.96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29.26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28.86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92.75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101.45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42.07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33.98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89.86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3" w:name="strainChart1"/>
      <w:bookmarkEnd w:id="3"/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二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表x-x 工况二挠度检测结果汇总表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Table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5" w:name="dispChart2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表x-x 工况二应变检测结果汇总表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6" w:name="strainTable2"/>
            <w:bookmarkEnd w:id="6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41.71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36.27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86.96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44.37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98.55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34.16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92.75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3.79%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86.96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57.97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17.95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17.56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31.88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9.26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7" w:name="strainChart2"/>
      <w:bookmarkEnd w:id="7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8" w:name="dispTable3"/>
      <w:bookmarkEnd w:id="8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9" w:name="dispChart3"/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0" w:name="strainTable3"/>
      <w:bookmarkEnd w:id="10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1" w:name="strainChart3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dispSummary4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dispTbTitle4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2" w:name="dispTable4"/>
      <w:bookmarkEnd w:id="12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3" w:name="dispChart4"/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strainSummary4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strainTbTitle4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4" w:name="strainTable4"/>
      <w:bookmarkEnd w:id="14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5" w:name="strainChart4"/>
      <w:bookmarkEnd w:id="15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Summary2" w:val="工况二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"/>
    <w:docVar w:name="dispTbTitle2" w:val="表x-x 工况二挠度检测结果汇总表"/>
    <w:docVar w:name="strainSummary1" w:val="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"/>
    <w:docVar w:name="strainSummary2" w:val="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"/>
    <w:docVar w:name="strainTbTitle1" w:val="表x-x 工况一应变检测结果汇总表"/>
    <w:docVar w:name="strainTbTitle2" w:val="表x-x 工况二应变检测结果汇总表"/>
  </w:docVars>
  <w:rsids>
    <w:rsidRoot w:val="75EC3C5A"/>
    <w:rsid w:val="01DF47C7"/>
    <w:rsid w:val="08CA145E"/>
    <w:rsid w:val="0DF04B10"/>
    <w:rsid w:val="10E26A0E"/>
    <w:rsid w:val="18CC6104"/>
    <w:rsid w:val="1C40094A"/>
    <w:rsid w:val="22910433"/>
    <w:rsid w:val="30A3109F"/>
    <w:rsid w:val="45D17EC1"/>
    <w:rsid w:val="75EC3C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2018-12-14T08:58:53Z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