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( 1)在工况一荷载作用下，所测主梁最大弹性应变为42.07με，实测控制截面的混凝土应变值均小于理论值，校验系数在0.08～0.84之间；相对残余应变在0.00%～18.60%之间。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( 2)在工况二荷载作用下，所测主梁最大弹性应变为44.37με，实测控制截面的混凝土应变值均小于理论值，校验系数在0.07～0.63之间；相对残余应变在0.00%～11.05%之间。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22.22%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18.18%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2.33%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0.49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6.67%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4.26%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0.06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01604" w:rsidTr="00D0160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0.67</w:t>
            </w:r>
          </w:p>
        </w:tc>
        <w:tc>
          <w:tcPr>
            <w:tcW w:w="1218" w:type="dxa"/>
            <w:shd w:val="clear" w:color="auto" w:fill="auto"/>
          </w:tcPr>
          <w:p w:rsidR="00D01604" w:rsidRDefault="00D0160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D01604">
        <w:rPr>
          <w:rFonts w:ascii="楷体_GB2312" w:eastAsia="楷体_GB2312"/>
          <w:bCs/>
          <w:sz w:val="24"/>
        </w:rPr>
        <w:fldChar w:fldCharType="separate"/>
      </w:r>
      <w:r w:rsidR="00D0160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4之间；相对残余应变在0.00%～18.60%之间。"/>
    <w:docVar w:name="strainResult2" w:val="( 2)在工况二荷载作用下，所测主梁最大弹性应变为44.37με，实测控制截面的混凝土应变值均小于理论值，校验系数在0.07～0.63之间；相对残余应变在0.00%～11.05%之间。"/>
    <w:docVar w:name="strainSummary1" w:val="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D01604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3922</Characters>
  <Application>Microsoft Office Word</Application>
  <DocSecurity>0</DocSecurity>
  <Lines>32</Lines>
  <Paragraphs>9</Paragraphs>
  <ScaleCrop>false</ScaleCrop>
  <Company>福建省建筑科学研究院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2018-12-23T05:51:00Z</dcterms:created>
  <dcterms:modified xsi:type="dcterms:W3CDTF">2018-12-23T05:51:00Z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