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ascii="楷体_GB2312" w:eastAsia="楷体_GB2312" w:hint="eastAsia"/>
          <w:bCs/>
          <w:sz w:val="24"/>
        </w:rPr>
        <w:t>仅供参考</w:t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( 1)在工况二荷载作用下，主梁最大实测弹性挠度值为3.28mm，实测控制截面的挠度值均小于理论值，校验系数在0.39～0.93之间；相对残余变形在0.00%～4.81%之间。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 w:rsidP="008C4B48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C4B48" w:rsidRDefault="008C4B48">
      <w:pPr>
        <w:jc w:val="center"/>
        <w:rPr>
          <w:rFonts w:ascii="楷体_GB2312" w:eastAsia="楷体_GB2312"/>
          <w:bCs/>
          <w:sz w:val="24"/>
        </w:rPr>
      </w:pP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</w:instrText>
      </w:r>
      <w:r>
        <w:rPr>
          <w:rFonts w:ascii="楷体_GB2312" w:eastAsia="楷体_GB2312" w:hint="eastAsia"/>
          <w:bCs/>
          <w:sz w:val="24"/>
        </w:rPr>
        <w:instrText xml:space="preserve">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( 1)在工况一荷载作用下，所测主梁最大弹性应变为42.07με，实测控制截面的混凝土应变值均小于理论值，校验系数在0.08～0.87之间；相对残余应变在0.00%～18.60%之间。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sult2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( 2)在工况二荷载作用下，所测主梁最大弹性应变为44.37με，实测控制截面的混凝土应变值均小于理论值，校验系数在0.07～0.65之间；相对残余应变在0.00%～11.05%之间。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sult3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 w:rsidP="006A607D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</w:instrText>
      </w:r>
      <w:r>
        <w:rPr>
          <w:rFonts w:ascii="楷体_GB2312" w:eastAsia="楷体_GB2312"/>
          <w:bCs/>
          <w:sz w:val="24"/>
        </w:rPr>
        <w:instrText>strain</w:instrText>
      </w:r>
      <w:r>
        <w:rPr>
          <w:rFonts w:ascii="楷体_GB2312" w:eastAsia="楷体_GB2312" w:hint="eastAsia"/>
          <w:bCs/>
          <w:sz w:val="24"/>
        </w:rPr>
        <w:instrText>Re</w:instrText>
      </w:r>
      <w:r>
        <w:rPr>
          <w:rFonts w:ascii="楷体_GB2312" w:eastAsia="楷体_GB2312"/>
          <w:bCs/>
          <w:sz w:val="24"/>
        </w:rPr>
        <w:instrText>sult4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6A607D" w:rsidRDefault="006A607D">
      <w:pPr>
        <w:jc w:val="center"/>
        <w:rPr>
          <w:rFonts w:ascii="楷体_GB2312" w:eastAsia="楷体_GB2312"/>
          <w:bCs/>
          <w:sz w:val="24"/>
        </w:rPr>
      </w:pP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" w:name="dispTable1"/>
      <w:bookmarkEnd w:id="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2" w:name="dispChart1"/>
      <w:bookmarkEnd w:id="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strainTbTitle1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表x-x 工况一应变检测结果汇总表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3" w:name="strainTable1"/>
            <w:bookmarkEnd w:id="3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9.27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7.55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18.60%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6.43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5.46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15.07%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10.58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8.86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16.29%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15.11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28.99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16.62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15.65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5.83%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4.17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55.07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23.97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23.96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29.26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28.86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92.75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1.35%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101.45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43.22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42.07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2.66%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33.98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33.77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89.86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0.63%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4" w:name="strainChart1"/>
      <w:bookmarkEnd w:id="4"/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表x-x 工况二挠度检测结果汇总表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5" w:name="dispTable2"/>
            <w:bookmarkEnd w:id="5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总变形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弹性变形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残余变形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满载理论值(mm)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相对残余变形(%)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0.83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1.74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1.28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1.64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4.01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2.03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5.16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Z9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2.50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5.95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3.29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3.28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3.10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7.27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2.91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0.14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4.81%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Z14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2.80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6.70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2.44%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6" w:name="dispChart2"/>
      <w:bookmarkEnd w:id="6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strainTbTitle2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Cs/>
          <w:sz w:val="24"/>
        </w:rPr>
        <w:t>表x-x 工况二应变检测结果汇总表</w:t>
      </w:r>
      <w:r>
        <w:rPr>
          <w:rFonts w:ascii="楷体_GB2312" w:eastAsia="楷体_GB2312" w:hint="eastAsia"/>
          <w:bCs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bookmarkStart w:id="7" w:name="strainTable2"/>
            <w:bookmarkEnd w:id="7"/>
            <w:r>
              <w:rPr>
                <w:rFonts w:ascii="楷体_GB2312" w:eastAsia="楷体_GB2312" w:hint="eastAsia"/>
                <w:bCs/>
                <w:sz w:val="24"/>
              </w:rPr>
              <w:t>测点号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总应变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弹性应变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残余应变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满载理论值(με)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校验系数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相对残余应变(%)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44.77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41.71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3.05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84.06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6.82%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36.27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35.30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86.96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0.41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2.67%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46.83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44.37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2.46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5.26%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25.70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98.55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0.26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39.66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104.35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6#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35.51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34.16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92.75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3.79%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10.22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86.96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0.12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18.71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18.69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57.97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0.32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0.09%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17.95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17.56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40.58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0.43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2.20%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2.30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31.88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0.07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8.14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23.19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0.35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12#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10.40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9.26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1.15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17.39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0.53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11.05%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13#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7.01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11.59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  <w:tr w:rsidR="00171214" w:rsidTr="00171214">
        <w:tblPrEx>
          <w:tblCellMar>
            <w:top w:w="0" w:type="dxa"/>
            <w:bottom w:w="0" w:type="dxa"/>
          </w:tblCellMar>
        </w:tblPrEx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14#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5.68</w:t>
            </w:r>
          </w:p>
        </w:tc>
        <w:tc>
          <w:tcPr>
            <w:tcW w:w="1217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8.70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0.65</w:t>
            </w:r>
          </w:p>
        </w:tc>
        <w:tc>
          <w:tcPr>
            <w:tcW w:w="1218" w:type="dxa"/>
            <w:shd w:val="clear" w:color="auto" w:fill="auto"/>
          </w:tcPr>
          <w:p w:rsidR="00171214" w:rsidRDefault="00171214">
            <w:pPr>
              <w:jc w:val="left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0.00%</w:t>
            </w:r>
          </w:p>
        </w:tc>
      </w:tr>
    </w:tbl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8" w:name="strainChart2"/>
      <w:bookmarkEnd w:id="8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9" w:name="dispTable3"/>
      <w:bookmarkEnd w:id="9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0" w:name="dispChart3"/>
      <w:bookmarkEnd w:id="10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strainTbTitle3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1" w:name="strainTable3"/>
      <w:bookmarkEnd w:id="11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2" w:name="strainChart3"/>
      <w:bookmarkEnd w:id="12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dispSummary4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center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3" w:name="dispTable4"/>
      <w:bookmarkEnd w:id="13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4" w:name="dispChart4"/>
      <w:bookmarkEnd w:id="14"/>
    </w:p>
    <w:p w:rsidR="00EB1A02" w:rsidRDefault="009D1FA9">
      <w:pPr>
        <w:ind w:firstLineChars="200" w:firstLine="480"/>
        <w:jc w:val="left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strainSummary4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9D1FA9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strainTbTitle4 \* MERGEFORMAT </w:instrText>
      </w:r>
      <w:r w:rsidR="00171214">
        <w:rPr>
          <w:rFonts w:ascii="楷体_GB2312" w:eastAsia="楷体_GB2312"/>
          <w:bCs/>
          <w:sz w:val="24"/>
        </w:rPr>
        <w:fldChar w:fldCharType="separate"/>
      </w:r>
      <w:r w:rsidR="00171214">
        <w:rPr>
          <w:rFonts w:ascii="楷体_GB2312" w:eastAsia="楷体_GB2312" w:hint="eastAsia"/>
          <w:b/>
          <w:sz w:val="24"/>
        </w:rPr>
        <w:t>错误!未提供文档变量。</w: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5" w:name="strainTable4"/>
      <w:bookmarkEnd w:id="15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  <w:bookmarkStart w:id="16" w:name="strainChart4"/>
      <w:bookmarkEnd w:id="16"/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p w:rsidR="00EB1A02" w:rsidRDefault="00EB1A02">
      <w:pPr>
        <w:jc w:val="left"/>
        <w:rPr>
          <w:rFonts w:ascii="楷体_GB2312" w:eastAsia="楷体_GB2312"/>
          <w:bCs/>
          <w:sz w:val="24"/>
        </w:rPr>
      </w:pPr>
    </w:p>
    <w:sectPr w:rsidR="00EB1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A9" w:rsidRDefault="009D1FA9" w:rsidP="008C4B48">
      <w:r>
        <w:separator/>
      </w:r>
    </w:p>
  </w:endnote>
  <w:endnote w:type="continuationSeparator" w:id="0">
    <w:p w:rsidR="009D1FA9" w:rsidRDefault="009D1FA9" w:rsidP="008C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A9" w:rsidRDefault="009D1FA9" w:rsidP="008C4B48">
      <w:r>
        <w:separator/>
      </w:r>
    </w:p>
  </w:footnote>
  <w:footnote w:type="continuationSeparator" w:id="0">
    <w:p w:rsidR="009D1FA9" w:rsidRDefault="009D1FA9" w:rsidP="008C4B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ispResult2" w:val="( 1)在工况二荷载作用下，主梁最大实测弹性挠度值为3.28mm，实测控制截面的挠度值均小于理论值，校验系数在0.39～0.93之间；相对残余变形在0.00%～4.81%之间。"/>
    <w:docVar w:name="dispSummary2" w:val="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TbTitle2" w:val="表x-x 工况二挠度检测结果汇总表"/>
    <w:docVar w:name="strainResult1" w:val="( 1)在工况一荷载作用下，所测主梁最大弹性应变为42.07με，实测控制截面的混凝土应变值均小于理论值，校验系数在0.08～0.87之间；相对残余应变在0.00%～18.60%之间。"/>
    <w:docVar w:name="strainResult2" w:val="( 2)在工况二荷载作用下，所测主梁最大弹性应变为44.37με，实测控制截面的混凝土应变值均小于理论值，校验系数在0.07～0.65之间；相对残余应变在0.00%～11.05%之间。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0171214"/>
    <w:rsid w:val="006A607D"/>
    <w:rsid w:val="008C4B48"/>
    <w:rsid w:val="009D1FA9"/>
    <w:rsid w:val="00EB1A02"/>
    <w:rsid w:val="01DF47C7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E6B1C022-C1ED-4A54-AE64-C8EEB579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C4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C4B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C4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C4B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564</Words>
  <Characters>3219</Characters>
  <Application>Microsoft Office Word</Application>
  <DocSecurity>0</DocSecurity>
  <Lines>26</Lines>
  <Paragraphs>7</Paragraphs>
  <ScaleCrop>false</ScaleCrop>
  <Company>福建省建筑科学研究院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4</cp:revision>
  <dcterms:created xsi:type="dcterms:W3CDTF">2018-12-13T00:47:00Z</dcterms:created>
  <dcterms:modified xsi:type="dcterms:W3CDTF">2018-12-14T13:34:00Z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