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( 1)在工况一荷载作用下，主梁最大实测弹性挠度值为2.41mm，实测控制截面的挠度值均小于理论值，校验系数在0.76～0.89之间；相对残余变形在0.00%～4.74%之间。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( 2)在工况二荷载作用下，主梁最大实测弹性挠度值为2.11mm，实测控制截面的挠度值均小于理论值，校验系数在0.60～0.88之间；相对残余变形在0.00%～17.95%之间。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( 1)在工况一荷载作用下，所测主梁最大弹性应变为46με，实测控制截面的混凝土应变值均小于理论值，校验系数在0.00～0.80之间；相对残余应变在0.00%～16.67%之间。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( 2)在工况二荷载作用下，所测主梁最大弹性应变为43με，实测控制截面的混凝土应变值均小于理论值，校验系数在0.34～0.69之间；相对残余应变在0.00%～8.51%之间。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dispSummary1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Table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0.76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4.74%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strainSummary1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工况一测试截面测点应变检测结果详见表x-x。应变实测值与理论计算值的关系曲线详见图x-x。检测结果表明，所测主梁的应变校验系数在0.00～0.80之间，相对残余应变在0.00%～0.80之间。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strainTbTitle1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0.63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51.00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0.68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0.65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-46.00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7.69%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-52.00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16.67%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-37.00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-28.00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14.29%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dispSummary2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Table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0.88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8.47%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4.95%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strainSummary2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工况二测试截面测点应变检测结果详见表x-x。应变实测值与理论计算值的关系曲线详见图x-x。检测结果表明，所测主梁的应变校验系数在0.34～0.69之间，相对残余应变在0.00%～0.69之间。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strainTbTitle2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0.69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8.51%</w:t>
            </w:r>
          </w:p>
        </w:tc>
      </w:tr>
      <w:tr w:rsidR="009009E3" w:rsidTr="009009E3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9009E3" w:rsidRDefault="009009E3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8.11%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dispSummary3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strainSummary3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strainTbTitle3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dispSummary4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strainSummary4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strainTbTitle4 \* MERGEFORMAT </w:instrText>
      </w:r>
      <w:r w:rsidR="009009E3">
        <w:rPr>
          <w:rFonts w:ascii="楷体_GB2312" w:eastAsia="楷体_GB2312"/>
          <w:bCs/>
          <w:sz w:val="24"/>
        </w:rPr>
        <w:fldChar w:fldCharType="separate"/>
      </w:r>
      <w:r w:rsidR="009009E3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76～0.89之间；相对残余变形在0.00%～4.74%之间。"/>
    <w:docVar w:name="dispResult2" w:val="( 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με，实测控制截面的混凝土应变值均小于理论值，校验系数在0.00～0.80之间；相对残余应变在0.00%～16.67%之间。"/>
    <w:docVar w:name="strainResult2" w:val="( 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0.80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0.69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009E3"/>
    <w:rsid w:val="009D1FA9"/>
    <w:rsid w:val="00EB1A02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457</Words>
  <Characters>2607</Characters>
  <Application>Microsoft Office Word</Application>
  <DocSecurity>0</DocSecurity>
  <Lines>21</Lines>
  <Paragraphs>6</Paragraphs>
  <ScaleCrop>false</ScaleCrop>
  <Company>福建省建筑科学研究院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4</cp:revision>
  <dcterms:created xsi:type="dcterms:W3CDTF">2018-12-13T00:47:00Z</dcterms:created>
  <dcterms:modified xsi:type="dcterms:W3CDTF">2019-01-12T03:51:00Z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