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(1)在工况一荷载作用下，主梁最大实测弹性挠度值为0.80mm，实测控制截面的挠度值均小于理论值，校验系数在0.39～0.54之间；相对残余变形在0.00%～0.00%之间。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(1)在工况一荷载作用下，所测主梁最大弹性应变为15με，实测控制截面的混凝土应变值均小于理论值，校验系数在0.24～0.47之间；相对残余应变在0.00%～0.00%之间。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_Toc28849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_Toc28849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_Toc30624 </w:instrText>
      </w:r>
      <w:r>
        <w:fldChar w:fldCharType="separate"/>
      </w:r>
      <w:r>
        <w:rPr>
          <w:rFonts w:hint="eastAsia" w:ascii="楷体_GB2312" w:hAnsi="楷体_GB2312" w:eastAsia="楷体_GB2312"/>
          <w:szCs w:val="24"/>
        </w:rPr>
        <w:t>1.1 工程概况</w:t>
      </w:r>
      <w:r>
        <w:tab/>
      </w:r>
      <w:r>
        <w:fldChar w:fldCharType="begin"/>
      </w:r>
      <w:r>
        <w:instrText xml:space="preserve"> PAGEREF _Toc30624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_Toc8223 </w:instrText>
      </w:r>
      <w:r>
        <w:fldChar w:fldCharType="separate"/>
      </w:r>
      <w:r>
        <w:rPr>
          <w:rFonts w:hint="eastAsia" w:ascii="楷体_GB2312" w:hAnsi="楷体_GB2312" w:eastAsia="楷体_GB2312"/>
          <w:szCs w:val="24"/>
        </w:rPr>
        <w:t>1.2 主要检测仪器</w:t>
      </w:r>
      <w:r>
        <w:tab/>
      </w:r>
      <w:r>
        <w:fldChar w:fldCharType="begin"/>
      </w:r>
      <w:r>
        <w:instrText xml:space="preserve"> PAGEREF _Toc8223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_Toc1195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_Toc1195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_Toc15131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_Toc15131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_Toc12545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_Toc12545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_Toc29527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_Toc29527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_Toc12592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_Toc12592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_Toc22088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_Toc22088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_Toc17287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_Toc17287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_Toc15592 </w:instrText>
      </w:r>
      <w:r>
        <w:fldChar w:fldCharType="separate"/>
      </w:r>
      <w:r>
        <w:rPr>
          <w:rFonts w:hint="eastAsia" w:ascii="楷体_GB2312" w:eastAsia="楷体_GB2312"/>
          <w:kern w:val="0"/>
          <w:szCs w:val="24"/>
        </w:rPr>
        <w:t>第3章 桥梁静载试验</w:t>
      </w:r>
      <w:r>
        <w:tab/>
      </w:r>
      <w:r>
        <w:fldChar w:fldCharType="begin"/>
      </w:r>
      <w:r>
        <w:instrText xml:space="preserve"> PAGEREF _Toc15592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_Toc18777 </w:instrText>
      </w:r>
      <w:r>
        <w:fldChar w:fldCharType="separate"/>
      </w:r>
      <w:r>
        <w:rPr>
          <w:rFonts w:hint="eastAsia" w:ascii="楷体_GB2312" w:hAnsi="楷体_GB2312" w:eastAsia="楷体_GB2312"/>
          <w:szCs w:val="24"/>
        </w:rPr>
        <w:t>3.1 静载试验概况</w:t>
      </w:r>
      <w:r>
        <w:tab/>
      </w:r>
      <w:r>
        <w:fldChar w:fldCharType="begin"/>
      </w:r>
      <w:r>
        <w:instrText xml:space="preserve"> PAGEREF _Toc18777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_Toc18040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_Toc18040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_Toc826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_Toc826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_Toc7749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_Toc7749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_Toc20511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_Toc20511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_Toc3274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_Toc3274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_Toc3728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_Toc3728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_Toc5790 </w:instrText>
      </w:r>
      <w:r>
        <w:fldChar w:fldCharType="separate"/>
      </w:r>
      <w:r>
        <w:rPr>
          <w:rFonts w:hint="eastAsia" w:ascii="楷体_GB2312" w:eastAsia="楷体_GB2312"/>
          <w:kern w:val="0"/>
          <w:szCs w:val="24"/>
        </w:rPr>
        <w:t>第4章 桥梁动载试验</w:t>
      </w:r>
      <w:r>
        <w:tab/>
      </w:r>
      <w:r>
        <w:fldChar w:fldCharType="begin"/>
      </w:r>
      <w:r>
        <w:instrText xml:space="preserve"> PAGEREF _Toc5790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_Toc30789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_Toc30789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_Toc16396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_Toc16396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_Toc21486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_Toc21486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_Toc596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_Toc596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_Toc30196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_Toc30196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_Toc10194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_Toc10194 </w:instrText>
      </w:r>
      <w:r>
        <w:fldChar w:fldCharType="separate"/>
      </w:r>
      <w:r>
        <w:t>18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_Toc4204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_Toc4204 </w:instrText>
      </w:r>
      <w:r>
        <w:fldChar w:fldCharType="separate"/>
      </w:r>
      <w:r>
        <w:t>21</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8849"/>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30624"/>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8223"/>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195"/>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1513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12545"/>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9527"/>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10"/>
      <w:bookmarkStart w:id="29" w:name="_Toc256000042"/>
      <w:bookmarkStart w:id="30" w:name="_Toc256000246"/>
      <w:bookmarkStart w:id="31" w:name="_Toc256000008"/>
      <w:bookmarkStart w:id="32" w:name="_Toc435103113"/>
      <w:bookmarkStart w:id="33" w:name="_Toc256000127"/>
      <w:bookmarkStart w:id="34" w:name="_Toc256000059"/>
      <w:bookmarkStart w:id="35" w:name="_Toc256000229"/>
      <w:bookmarkStart w:id="36" w:name="_Toc256000195"/>
      <w:bookmarkStart w:id="37" w:name="_Toc256000263"/>
      <w:bookmarkStart w:id="38" w:name="_Toc256000314"/>
      <w:bookmarkStart w:id="39" w:name="_Toc490813827"/>
      <w:bookmarkStart w:id="40" w:name="_Toc256000076"/>
      <w:bookmarkStart w:id="41" w:name="_Toc24849"/>
      <w:bookmarkStart w:id="42" w:name="_Toc256000212"/>
      <w:bookmarkStart w:id="43" w:name="_Toc256000297"/>
      <w:bookmarkStart w:id="44" w:name="_Toc256000161"/>
      <w:bookmarkStart w:id="45" w:name="_Toc256000025"/>
      <w:bookmarkStart w:id="46" w:name="_Toc436324216"/>
      <w:bookmarkStart w:id="47" w:name="_Toc3938"/>
      <w:bookmarkStart w:id="48" w:name="_Toc256000280"/>
      <w:bookmarkStart w:id="49" w:name="_Toc23226"/>
      <w:bookmarkStart w:id="50" w:name="_Toc256000178"/>
      <w:bookmarkStart w:id="51" w:name="_Toc256000093"/>
      <w:bookmarkStart w:id="52" w:name="_Toc256000331"/>
      <w:bookmarkStart w:id="53" w:name="_Toc12592"/>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2088"/>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17287"/>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5592"/>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18777"/>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99517690"/>
      <w:bookmarkStart w:id="105" w:name="_Toc17248"/>
      <w:bookmarkStart w:id="106" w:name="_Toc394613369"/>
      <w:bookmarkStart w:id="107" w:name="_Toc12599"/>
      <w:bookmarkStart w:id="108" w:name="_Toc14043"/>
      <w:bookmarkStart w:id="109" w:name="_Toc19741"/>
      <w:bookmarkStart w:id="110" w:name="_Toc399150332"/>
      <w:bookmarkStart w:id="111" w:name="_Toc399658317"/>
      <w:bookmarkStart w:id="112" w:name="_Toc398541186"/>
      <w:bookmarkStart w:id="113" w:name="_Toc398305882"/>
      <w:bookmarkStart w:id="114" w:name="_Toc470253994"/>
      <w:bookmarkStart w:id="115" w:name="_Toc31858"/>
      <w:bookmarkStart w:id="116" w:name="_Toc18040"/>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826"/>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7749"/>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0511"/>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3274"/>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3728"/>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_Ref24220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_Ref24224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。检测结果表明，所测主梁的挠度校验系数在0.39～0.54之间，相对残余变形在0.00%～0.00%之间。</w:t>
      </w:r>
    </w:p>
    <w:p>
      <w:pPr>
        <w:pStyle w:val="15"/>
        <w:snapToGrid w:val="0"/>
        <w:spacing w:line="400" w:lineRule="exact"/>
        <w:ind w:firstLine="0" w:firstLineChars="0"/>
        <w:jc w:val="center"/>
        <w:rPr>
          <w:rFonts w:hint="eastAsia" w:cs="Times New Roman"/>
          <w:color w:val="auto"/>
          <w:sz w:val="24"/>
          <w:lang w:eastAsia="zh-CN"/>
        </w:rPr>
      </w:pPr>
      <w:bookmarkStart w:id="163" w:name="_Ref2422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29"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2422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_Ref22605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_Ref17410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。检测结果表明，所测主梁的应变校验系数在0.24～0.47之间，相对残余应变在0.00%～0.00%之间。</w:t>
      </w:r>
    </w:p>
    <w:p>
      <w:pPr>
        <w:pStyle w:val="15"/>
        <w:snapToGrid w:val="0"/>
        <w:spacing w:line="240" w:lineRule="auto"/>
        <w:ind w:firstLine="0" w:firstLineChars="0"/>
        <w:jc w:val="center"/>
        <w:rPr>
          <w:rFonts w:hint="eastAsia" w:cs="Times New Roman"/>
          <w:color w:val="auto"/>
          <w:sz w:val="24"/>
          <w:lang w:eastAsia="zh-CN"/>
        </w:rPr>
      </w:pPr>
      <w:bookmarkStart w:id="165" w:name="_Ref2260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1"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1741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_Ref11462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_Ref20771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。检测结果表明，所测主梁的挠度校验系数在0.53～0.58之间，相对残余变形在0.00%～4.41%之间。</w:t>
      </w:r>
    </w:p>
    <w:p>
      <w:pPr>
        <w:pStyle w:val="15"/>
        <w:snapToGrid w:val="0"/>
        <w:spacing w:line="240" w:lineRule="auto"/>
        <w:ind w:firstLine="0" w:firstLineChars="0"/>
        <w:jc w:val="center"/>
        <w:rPr>
          <w:rFonts w:hint="eastAsia" w:cs="Times New Roman"/>
          <w:color w:val="auto"/>
          <w:sz w:val="24"/>
          <w:lang w:eastAsia="zh-CN"/>
        </w:rPr>
      </w:pPr>
      <w:bookmarkStart w:id="167" w:name="_Ref1146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0.09</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3.95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0"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077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_Ref9079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_Ref27337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19" w:name="_GoBack"/>
      <w:bookmarkEnd w:id="219"/>
      <w:r>
        <w:rPr>
          <w:rFonts w:hint="eastAsia" w:cs="Times New Roman"/>
          <w:color w:val="auto"/>
          <w:sz w:val="24"/>
          <w:lang w:eastAsia="zh-CN"/>
        </w:rPr>
        <w:t>。检测结果表明，所测主梁的应变校验系数在0.36～0.50之间，相对残余应变在0.00%～3.33%之间。</w:t>
      </w:r>
    </w:p>
    <w:p>
      <w:pPr>
        <w:pStyle w:val="15"/>
        <w:snapToGrid w:val="0"/>
        <w:spacing w:line="240" w:lineRule="auto"/>
        <w:ind w:firstLine="0" w:firstLineChars="0"/>
        <w:jc w:val="center"/>
        <w:rPr>
          <w:rFonts w:hint="eastAsia" w:cs="Times New Roman"/>
          <w:color w:val="auto"/>
          <w:sz w:val="24"/>
          <w:lang w:eastAsia="zh-CN"/>
        </w:rPr>
      </w:pPr>
      <w:bookmarkStart w:id="169" w:name="_Ref907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3.03%</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2"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733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工况二应变实测值与理论计算值的关系曲线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5790"/>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30789"/>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bookmarkStart w:id="180" w:name="_Toc16396"/>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bookmarkEnd w:id="18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0"/>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1" w:name="_Toc27192"/>
      <w:bookmarkStart w:id="182" w:name="_Toc31067"/>
      <w:bookmarkStart w:id="183" w:name="_Toc470254003"/>
      <w:bookmarkStart w:id="184" w:name="_Toc26839"/>
      <w:bookmarkStart w:id="185" w:name="_Toc10124"/>
      <w:bookmarkStart w:id="186" w:name="_Toc15313"/>
      <w:bookmarkStart w:id="187" w:name="_Toc21486"/>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1"/>
      <w:bookmarkEnd w:id="182"/>
      <w:bookmarkEnd w:id="183"/>
      <w:bookmarkEnd w:id="184"/>
      <w:bookmarkEnd w:id="185"/>
      <w:bookmarkEnd w:id="186"/>
      <w:bookmarkEnd w:id="18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1"/>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2"/>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8" w:name="_Toc596"/>
      <w:r>
        <w:rPr>
          <w:rFonts w:hint="eastAsia" w:ascii="楷体_GB2312" w:hAnsi="楷体_GB2312" w:eastAsia="楷体_GB2312"/>
          <w:sz w:val="24"/>
          <w:szCs w:val="24"/>
        </w:rPr>
        <w:t>跑车</w:t>
      </w:r>
      <w:r>
        <w:rPr>
          <w:rFonts w:ascii="楷体_GB2312" w:hAnsi="楷体_GB2312" w:eastAsia="楷体_GB2312"/>
          <w:sz w:val="24"/>
          <w:szCs w:val="24"/>
        </w:rPr>
        <w:t>试验</w:t>
      </w:r>
      <w:bookmarkEnd w:id="188"/>
    </w:p>
    <w:p>
      <w:pPr>
        <w:spacing w:line="420" w:lineRule="exact"/>
        <w:outlineLvl w:val="2"/>
        <w:rPr>
          <w:rFonts w:ascii="楷体_GB2312" w:eastAsia="楷体_GB2312"/>
          <w:b/>
          <w:sz w:val="24"/>
        </w:rPr>
      </w:pPr>
      <w:bookmarkStart w:id="189" w:name="_Toc23758"/>
      <w:bookmarkStart w:id="190" w:name="_Toc19248"/>
      <w:bookmarkStart w:id="191" w:name="_Toc24133"/>
      <w:bookmarkStart w:id="192" w:name="_Toc25528"/>
      <w:bookmarkStart w:id="193" w:name="_Toc470254005"/>
      <w:bookmarkStart w:id="194" w:name="_Toc25568"/>
      <w:bookmarkStart w:id="195" w:name="_Toc441501458"/>
      <w:bookmarkStart w:id="196" w:name="_Toc30196"/>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9"/>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3"/>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bookmarkStart w:id="204" w:name="_Toc10194"/>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bookmarkEnd w:id="20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4"/>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5"/>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6"/>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7"/>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8"/>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9"/>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5" w:name="_Toc256000040"/>
      <w:bookmarkStart w:id="206" w:name="_Toc11255"/>
      <w:bookmarkStart w:id="207" w:name="_Toc256000027"/>
      <w:bookmarkStart w:id="208" w:name="_Toc256000092"/>
      <w:bookmarkStart w:id="209" w:name="_Toc256000053"/>
      <w:bookmarkStart w:id="210" w:name="_Toc256000079"/>
      <w:bookmarkStart w:id="211" w:name="_Toc256000105"/>
      <w:bookmarkStart w:id="212" w:name="_Toc26195"/>
      <w:bookmarkStart w:id="213" w:name="_Toc256000014"/>
      <w:bookmarkStart w:id="214" w:name="_Toc256000066"/>
      <w:bookmarkStart w:id="215" w:name="_Toc256000144"/>
      <w:bookmarkStart w:id="216" w:name="_Toc256000118"/>
      <w:bookmarkStart w:id="217" w:name="_Toc256000131"/>
      <w:bookmarkStart w:id="218" w:name="_Toc4204"/>
      <w:r>
        <w:rPr>
          <w:rStyle w:val="49"/>
          <w:rFonts w:hint="eastAsia" w:ascii="楷体_GB2312" w:hAnsi="楷体_GB2312" w:eastAsia="楷体_GB2312" w:cs="楷体_GB2312"/>
          <w:sz w:val="24"/>
          <w:szCs w:val="24"/>
          <w:lang w:val="en-US" w:eastAsia="zh-CN"/>
        </w:rPr>
        <w:t>附件  现场检测照片</w:t>
      </w:r>
      <w:bookmarkEnd w:id="205"/>
      <w:bookmarkEnd w:id="206"/>
      <w:bookmarkEnd w:id="207"/>
      <w:bookmarkEnd w:id="208"/>
      <w:bookmarkEnd w:id="209"/>
      <w:bookmarkEnd w:id="210"/>
      <w:bookmarkEnd w:id="211"/>
      <w:bookmarkEnd w:id="212"/>
      <w:bookmarkEnd w:id="213"/>
      <w:bookmarkEnd w:id="214"/>
      <w:bookmarkEnd w:id="215"/>
      <w:bookmarkEnd w:id="216"/>
      <w:bookmarkEnd w:id="217"/>
    </w:p>
    <w:bookmarkEnd w:id="21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25153"/>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74555"/>
    <w:rsid w:val="21E812F0"/>
    <w:rsid w:val="21FC224C"/>
    <w:rsid w:val="22691BA8"/>
    <w:rsid w:val="22850552"/>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349871510"/>
        <c:axId val="276274225"/>
      </c:lineChart>
      <c:catAx>
        <c:axId val="34987151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6274225"/>
        <c:crosses val="autoZero"/>
        <c:auto val="1"/>
        <c:lblAlgn val="ctr"/>
        <c:lblOffset val="100"/>
        <c:noMultiLvlLbl val="0"/>
      </c:catAx>
      <c:valAx>
        <c:axId val="27627422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987151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29</c:v>
                </c:pt>
                <c:pt idx="1">
                  <c:v>32</c:v>
                </c:pt>
                <c:pt idx="2">
                  <c:v>41</c:v>
                </c:pt>
                <c:pt idx="3">
                  <c:v>43</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7</c:v>
                </c:pt>
                <c:pt idx="1">
                  <c:v>15</c:v>
                </c:pt>
                <c:pt idx="2">
                  <c:v>15</c:v>
                </c:pt>
                <c:pt idx="3">
                  <c:v>15</c:v>
                </c:pt>
              </c:numCache>
            </c:numRef>
          </c:val>
          <c:smooth val="0"/>
        </c:ser>
        <c:dLbls>
          <c:showLegendKey val="0"/>
          <c:showVal val="0"/>
          <c:showCatName val="0"/>
          <c:showSerName val="0"/>
          <c:showPercent val="0"/>
          <c:showBubbleSize val="0"/>
        </c:dLbls>
        <c:marker val="1"/>
        <c:smooth val="0"/>
        <c:axId val="737788243"/>
        <c:axId val="738497784"/>
      </c:lineChart>
      <c:catAx>
        <c:axId val="7377882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8497784"/>
        <c:crosses val="autoZero"/>
        <c:auto val="1"/>
        <c:lblAlgn val="ctr"/>
        <c:lblOffset val="100"/>
        <c:noMultiLvlLbl val="0"/>
      </c:catAx>
      <c:valAx>
        <c:axId val="73849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778824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A-1</c:v>
                </c:pt>
                <c:pt idx="1" c:formatCode="0.00">
                  <c:v>A-2</c:v>
                </c:pt>
                <c:pt idx="2" c:formatCode="0.00">
                  <c:v>A-3</c:v>
                </c:pt>
                <c:pt idx="3" c:formatCode="0.00">
                  <c:v>A-4</c:v>
                </c:pt>
                <c:pt idx="4" c:formatCode="0.00">
                  <c:v>A-5</c:v>
                </c:pt>
                <c:pt idx="5" c:formatCode="0.00">
                  <c:v>A-6</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A-1</c:v>
                </c:pt>
                <c:pt idx="1" c:formatCode="0.00">
                  <c:v>A-2</c:v>
                </c:pt>
                <c:pt idx="2" c:formatCode="0.00">
                  <c:v>A-3</c:v>
                </c:pt>
                <c:pt idx="3" c:formatCode="0.00">
                  <c:v>A-4</c:v>
                </c:pt>
                <c:pt idx="4" c:formatCode="0.00">
                  <c:v>A-5</c:v>
                </c:pt>
                <c:pt idx="5" c:formatCode="0.00">
                  <c:v>A-6</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740026013"/>
        <c:axId val="809790655"/>
      </c:lineChart>
      <c:catAx>
        <c:axId val="74002601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9790655"/>
        <c:crosses val="autoZero"/>
        <c:auto val="1"/>
        <c:lblAlgn val="ctr"/>
        <c:lblOffset val="100"/>
        <c:noMultiLvlLbl val="0"/>
      </c:catAx>
      <c:valAx>
        <c:axId val="809790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002601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A-1</c:v>
                </c:pt>
                <c:pt idx="1" c:formatCode="0.00">
                  <c:v>A-2</c:v>
                </c:pt>
                <c:pt idx="2" c:formatCode="0.00">
                  <c:v>A-3</c:v>
                </c:pt>
                <c:pt idx="3" c:formatCode="0.00">
                  <c:v>A-4</c:v>
                </c:pt>
                <c:pt idx="4" c:formatCode="0.00">
                  <c:v>A-5</c:v>
                </c:pt>
                <c:pt idx="5" c:formatCode="0.00">
                  <c:v>A-6</c:v>
                </c:pt>
              </c:strCache>
            </c:strRef>
          </c:cat>
          <c:val>
            <c:numRef>
              <c:f>[自动报告主程序.xlsm]应变!$J$19:$J$24</c:f>
              <c:numCache>
                <c:formatCode>0_ </c:formatCode>
                <c:ptCount val="6"/>
                <c:pt idx="0">
                  <c:v>75</c:v>
                </c:pt>
                <c:pt idx="1">
                  <c:v>87</c:v>
                </c:pt>
                <c:pt idx="2">
                  <c:v>90</c:v>
                </c:pt>
                <c:pt idx="3">
                  <c:v>87</c:v>
                </c:pt>
                <c:pt idx="4">
                  <c:v>81</c:v>
                </c:pt>
                <c:pt idx="5">
                  <c:v>67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A-1</c:v>
                </c:pt>
                <c:pt idx="1" c:formatCode="0.00">
                  <c:v>A-2</c:v>
                </c:pt>
                <c:pt idx="2" c:formatCode="0.00">
                  <c:v>A-3</c:v>
                </c:pt>
                <c:pt idx="3" c:formatCode="0.00">
                  <c:v>A-4</c:v>
                </c:pt>
                <c:pt idx="4" c:formatCode="0.00">
                  <c:v>A-5</c:v>
                </c:pt>
                <c:pt idx="5" c:formatCode="0.00">
                  <c:v>A-6</c:v>
                </c:pt>
              </c:strCache>
            </c:strRef>
          </c:cat>
          <c:val>
            <c:numRef>
              <c:f>[自动报告主程序.xlsm]应变!$AB$19:$AB$24</c:f>
              <c:numCache>
                <c:formatCode>0_ </c:formatCode>
                <c:ptCount val="6"/>
                <c:pt idx="0">
                  <c:v>35</c:v>
                </c:pt>
                <c:pt idx="1">
                  <c:v>41</c:v>
                </c:pt>
                <c:pt idx="2">
                  <c:v>45</c:v>
                </c:pt>
                <c:pt idx="3">
                  <c:v>35</c:v>
                </c:pt>
                <c:pt idx="4">
                  <c:v>29</c:v>
                </c:pt>
                <c:pt idx="5">
                  <c:v>32</c:v>
                </c:pt>
              </c:numCache>
            </c:numRef>
          </c:val>
          <c:smooth val="0"/>
        </c:ser>
        <c:dLbls>
          <c:showLegendKey val="0"/>
          <c:showVal val="0"/>
          <c:showCatName val="0"/>
          <c:showSerName val="0"/>
          <c:showPercent val="0"/>
          <c:showBubbleSize val="0"/>
        </c:dLbls>
        <c:marker val="1"/>
        <c:smooth val="0"/>
        <c:axId val="938465590"/>
        <c:axId val="74562372"/>
      </c:lineChart>
      <c:catAx>
        <c:axId val="9384655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562372"/>
        <c:crosses val="autoZero"/>
        <c:auto val="1"/>
        <c:lblAlgn val="ctr"/>
        <c:lblOffset val="100"/>
        <c:noMultiLvlLbl val="0"/>
      </c:catAx>
      <c:valAx>
        <c:axId val="745623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84655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2019-04-18T02:21:19Z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