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_Toc31895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_Toc31895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_Toc4697 </w:instrText>
      </w:r>
      <w:r>
        <w:fldChar w:fldCharType="separate"/>
      </w:r>
      <w:r>
        <w:rPr>
          <w:rFonts w:hint="eastAsia" w:ascii="楷体_GB2312" w:hAnsi="楷体_GB2312" w:eastAsia="楷体_GB2312"/>
          <w:szCs w:val="24"/>
        </w:rPr>
        <w:t>1.1 工程概况</w:t>
      </w:r>
      <w:r>
        <w:tab/>
      </w:r>
      <w:r>
        <w:fldChar w:fldCharType="begin"/>
      </w:r>
      <w:r>
        <w:instrText xml:space="preserve"> PAGEREF _Toc4697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_Toc8211 </w:instrText>
      </w:r>
      <w:r>
        <w:fldChar w:fldCharType="separate"/>
      </w:r>
      <w:r>
        <w:rPr>
          <w:rFonts w:hint="eastAsia" w:ascii="楷体_GB2312" w:hAnsi="楷体_GB2312" w:eastAsia="楷体_GB2312"/>
          <w:szCs w:val="24"/>
        </w:rPr>
        <w:t>1.2 主要检测仪器</w:t>
      </w:r>
      <w:r>
        <w:tab/>
      </w:r>
      <w:r>
        <w:fldChar w:fldCharType="begin"/>
      </w:r>
      <w:r>
        <w:instrText xml:space="preserve"> PAGEREF _Toc8211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_Toc29270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_Toc29270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_Toc4072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_Toc4072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_Toc9745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_Toc9745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_Toc21283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_Toc21283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_Toc2234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_Toc2234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_Toc20290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_Toc20290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_Toc11444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_Toc11444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_Toc3187 </w:instrText>
      </w:r>
      <w:r>
        <w:fldChar w:fldCharType="separate"/>
      </w:r>
      <w:r>
        <w:rPr>
          <w:rFonts w:hint="eastAsia" w:ascii="楷体_GB2312" w:eastAsia="楷体_GB2312"/>
          <w:kern w:val="0"/>
          <w:szCs w:val="24"/>
        </w:rPr>
        <w:t>第3章 桥梁静载试验</w:t>
      </w:r>
      <w:r>
        <w:tab/>
      </w:r>
      <w:r>
        <w:fldChar w:fldCharType="begin"/>
      </w:r>
      <w:r>
        <w:instrText xml:space="preserve"> PAGEREF _Toc3187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_Toc9063 </w:instrText>
      </w:r>
      <w:r>
        <w:fldChar w:fldCharType="separate"/>
      </w:r>
      <w:r>
        <w:rPr>
          <w:rFonts w:hint="eastAsia" w:ascii="楷体_GB2312" w:hAnsi="楷体_GB2312" w:eastAsia="楷体_GB2312"/>
          <w:szCs w:val="24"/>
        </w:rPr>
        <w:t>3.1 静载试验概况</w:t>
      </w:r>
      <w:r>
        <w:tab/>
      </w:r>
      <w:r>
        <w:fldChar w:fldCharType="begin"/>
      </w:r>
      <w:r>
        <w:instrText xml:space="preserve"> PAGEREF _Toc9063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_Toc8358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_Toc8358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_Toc29828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_Toc29828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_Toc8261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_Toc8261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_Toc18533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_Toc18533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_Toc10637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_Toc10637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_Toc9840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_Toc9840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_Toc2017 </w:instrText>
      </w:r>
      <w:r>
        <w:fldChar w:fldCharType="separate"/>
      </w:r>
      <w:r>
        <w:rPr>
          <w:rFonts w:hint="eastAsia" w:ascii="楷体_GB2312" w:eastAsia="楷体_GB2312"/>
          <w:kern w:val="0"/>
          <w:szCs w:val="24"/>
        </w:rPr>
        <w:t>第4章 桥梁动载试验</w:t>
      </w:r>
      <w:r>
        <w:tab/>
      </w:r>
      <w:r>
        <w:fldChar w:fldCharType="begin"/>
      </w:r>
      <w:r>
        <w:instrText xml:space="preserve"> PAGEREF _Toc2017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_Toc28591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_Toc5778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_Toc5778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_Toc16115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_Toc16115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_Toc1765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_Toc1765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_Toc25402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_Toc25402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_Toc2923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_Toc2923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_Toc3642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_Toc3642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2074210"/>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1895"/>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4697"/>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821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2927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4072"/>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9745"/>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1283"/>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435103113"/>
      <w:bookmarkStart w:id="29" w:name="_Toc256000195"/>
      <w:bookmarkStart w:id="30" w:name="_Toc256000229"/>
      <w:bookmarkStart w:id="31" w:name="_Toc256000297"/>
      <w:bookmarkStart w:id="32" w:name="_Toc24849"/>
      <w:bookmarkStart w:id="33" w:name="_Toc436324216"/>
      <w:bookmarkStart w:id="34" w:name="_Toc256000025"/>
      <w:bookmarkStart w:id="35" w:name="_Toc256000161"/>
      <w:bookmarkStart w:id="36" w:name="_Toc256000076"/>
      <w:bookmarkStart w:id="37" w:name="_Toc256000212"/>
      <w:bookmarkStart w:id="38" w:name="_Toc256000263"/>
      <w:bookmarkStart w:id="39" w:name="_Toc3938"/>
      <w:bookmarkStart w:id="40" w:name="_Toc256000008"/>
      <w:bookmarkStart w:id="41" w:name="_Toc256000314"/>
      <w:bookmarkStart w:id="42" w:name="_Toc256000110"/>
      <w:bookmarkStart w:id="43" w:name="_Toc256000280"/>
      <w:bookmarkStart w:id="44" w:name="_Toc256000246"/>
      <w:bookmarkStart w:id="45" w:name="_Toc256000093"/>
      <w:bookmarkStart w:id="46" w:name="_Toc256000042"/>
      <w:bookmarkStart w:id="47" w:name="_Toc23226"/>
      <w:bookmarkStart w:id="48" w:name="_Toc490813827"/>
      <w:bookmarkStart w:id="49" w:name="_Toc256000178"/>
      <w:bookmarkStart w:id="50" w:name="_Toc256000331"/>
      <w:bookmarkStart w:id="51" w:name="_Toc256000059"/>
      <w:bookmarkStart w:id="52" w:name="_Toc256000127"/>
      <w:bookmarkStart w:id="53" w:name="_Toc2234"/>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0290"/>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11444"/>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3187"/>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9063"/>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19741"/>
      <w:bookmarkStart w:id="105" w:name="_Toc31858"/>
      <w:bookmarkStart w:id="106" w:name="_Toc470253994"/>
      <w:bookmarkStart w:id="107" w:name="_Toc398305882"/>
      <w:bookmarkStart w:id="108" w:name="_Toc398541186"/>
      <w:bookmarkStart w:id="109" w:name="_Toc399658317"/>
      <w:bookmarkStart w:id="110" w:name="_Toc399150332"/>
      <w:bookmarkStart w:id="111" w:name="_Toc14043"/>
      <w:bookmarkStart w:id="112" w:name="_Toc12599"/>
      <w:bookmarkStart w:id="113" w:name="_Toc394613369"/>
      <w:bookmarkStart w:id="114" w:name="_Toc17248"/>
      <w:bookmarkStart w:id="115" w:name="_Toc399517690"/>
      <w:bookmarkStart w:id="116" w:name="_Toc8358"/>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29828"/>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8261"/>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18533"/>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10637"/>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984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_Ref7405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_Ref17152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740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715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_Ref1410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_Ref15202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141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1520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_Ref31821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_Ref12183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3182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21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_Ref31726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_Ref27876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317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787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_Ref6787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_Ref7409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678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740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_Ref12084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_Ref12126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1208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1212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2017"/>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285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5778"/>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16115"/>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1765"/>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25402"/>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2923"/>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3642"/>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053503"/>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66208F"/>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0814513"/>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General</c:formatCode>
                <c:ptCount val="4"/>
                <c:pt idx="0">
                  <c:v>2.09</c:v>
                </c:pt>
                <c:pt idx="1">
                  <c:v>2.66</c:v>
                </c:pt>
                <c:pt idx="2">
                  <c:v>2.7</c:v>
                </c:pt>
                <c:pt idx="3">
                  <c:v>2.59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1.66</c:v>
                </c:pt>
                <c:pt idx="1">
                  <c:v>2.02000000000001</c:v>
                </c:pt>
                <c:pt idx="2">
                  <c:v>2.41000000000001</c:v>
                </c:pt>
                <c:pt idx="3">
                  <c:v>2.17000000000002</c:v>
                </c:pt>
              </c:numCache>
            </c:numRef>
          </c:val>
          <c:smooth val="0"/>
        </c:ser>
        <c:dLbls>
          <c:showLegendKey val="0"/>
          <c:showVal val="0"/>
          <c:showCatName val="0"/>
          <c:showSerName val="0"/>
          <c:showPercent val="0"/>
          <c:showBubbleSize val="0"/>
        </c:dLbls>
        <c:marker val="1"/>
        <c:smooth val="0"/>
        <c:axId val="585335730"/>
        <c:axId val="657440354"/>
      </c:lineChart>
      <c:catAx>
        <c:axId val="58533573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7440354"/>
        <c:crosses val="autoZero"/>
        <c:auto val="1"/>
        <c:lblAlgn val="ctr"/>
        <c:lblOffset val="100"/>
        <c:noMultiLvlLbl val="0"/>
      </c:catAx>
      <c:valAx>
        <c:axId val="65744035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533573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72052874"/>
        <c:axId val="392287985"/>
      </c:lineChart>
      <c:catAx>
        <c:axId val="7205287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2287985"/>
        <c:crosses val="autoZero"/>
        <c:auto val="1"/>
        <c:lblAlgn val="ctr"/>
        <c:lblOffset val="100"/>
        <c:noMultiLvlLbl val="0"/>
      </c:catAx>
      <c:valAx>
        <c:axId val="39228798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05287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613877524"/>
        <c:axId val="129511903"/>
      </c:lineChart>
      <c:catAx>
        <c:axId val="6138775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9511903"/>
        <c:crosses val="autoZero"/>
        <c:auto val="1"/>
        <c:lblAlgn val="ctr"/>
        <c:lblOffset val="100"/>
        <c:noMultiLvlLbl val="0"/>
      </c:catAx>
      <c:valAx>
        <c:axId val="129511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387752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[自动报告主程序.xlsm]挠度!$F$17:$F$20</c:f>
              <c:numCache>
                <c:formatCode>General</c:formatCode>
                <c:ptCount val="4"/>
                <c:pt idx="0">
                  <c:v>2.09</c:v>
                </c:pt>
                <c:pt idx="1">
                  <c:v>2.66</c:v>
                </c:pt>
                <c:pt idx="2">
                  <c:v>2.7</c:v>
                </c:pt>
                <c:pt idx="3">
                  <c:v>2.59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[自动报告主程序.xlsm]挠度!$Q$17:$Q$20</c:f>
              <c:numCache>
                <c:formatCode>0.00_ </c:formatCode>
                <c:ptCount val="4"/>
                <c:pt idx="0">
                  <c:v>1.82999999999993</c:v>
                </c:pt>
                <c:pt idx="1">
                  <c:v>1.60000000000002</c:v>
                </c:pt>
                <c:pt idx="2">
                  <c:v>1.73000000000002</c:v>
                </c:pt>
                <c:pt idx="3">
                  <c:v>2.11000000000001</c:v>
                </c:pt>
              </c:numCache>
            </c:numRef>
          </c:val>
          <c:smooth val="0"/>
        </c:ser>
        <c:dLbls>
          <c:showLegendKey val="0"/>
          <c:showVal val="0"/>
          <c:showCatName val="0"/>
          <c:showSerName val="0"/>
          <c:showPercent val="0"/>
          <c:showBubbleSize val="0"/>
        </c:dLbls>
        <c:marker val="1"/>
        <c:smooth val="0"/>
        <c:axId val="111961737"/>
        <c:axId val="901181365"/>
      </c:lineChart>
      <c:catAx>
        <c:axId val="11196173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01181365"/>
        <c:crosses val="autoZero"/>
        <c:auto val="1"/>
        <c:lblAlgn val="ctr"/>
        <c:lblOffset val="100"/>
        <c:noMultiLvlLbl val="0"/>
      </c:catAx>
      <c:valAx>
        <c:axId val="90118136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119617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954228837"/>
        <c:axId val="999866963"/>
      </c:lineChart>
      <c:catAx>
        <c:axId val="95422883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99866963"/>
        <c:crosses val="autoZero"/>
        <c:auto val="1"/>
        <c:lblAlgn val="ctr"/>
        <c:lblOffset val="100"/>
        <c:noMultiLvlLbl val="0"/>
      </c:catAx>
      <c:valAx>
        <c:axId val="9998669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542288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([自动报告主程序.xlsm]挠度!$F$21,[自动报告主程序.xlsm]挠度!$Q$21)</c:f>
              <c:numCache>
                <c:formatCode>General</c:formatCode>
                <c:ptCount val="2"/>
                <c:pt idx="0">
                  <c:v>2.59</c:v>
                </c:pt>
                <c:pt idx="1" c:formatCode="0.00_ ">
                  <c:v>2.11000000000001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([自动报告主程序.xlsm]挠度!$F$22,[自动报告主程序.xlsm]挠度!$Q$22)</c:f>
              <c:numCache>
                <c:formatCode>General</c:formatCode>
                <c:ptCount val="2"/>
                <c:pt idx="0">
                  <c:v>2.7</c:v>
                </c:pt>
                <c:pt idx="1" c:formatCode="0.00_ ">
                  <c:v>1.73000000000002</c:v>
                </c:pt>
              </c:numCache>
            </c:numRef>
          </c:val>
          <c:smooth val="0"/>
        </c:ser>
        <c:dLbls>
          <c:showLegendKey val="0"/>
          <c:showVal val="0"/>
          <c:showCatName val="0"/>
          <c:showSerName val="0"/>
          <c:showPercent val="0"/>
          <c:showBubbleSize val="0"/>
        </c:dLbls>
        <c:marker val="1"/>
        <c:smooth val="0"/>
        <c:axId val="893813408"/>
        <c:axId val="327860430"/>
      </c:lineChart>
      <c:catAx>
        <c:axId val="89381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27860430"/>
        <c:crosses val="autoZero"/>
        <c:auto val="1"/>
        <c:lblAlgn val="ctr"/>
        <c:lblOffset val="100"/>
        <c:noMultiLvlLbl val="0"/>
      </c:catAx>
      <c:valAx>
        <c:axId val="32786043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381340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2019-03-13T00:51:18Z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