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E906A">
      <w:pPr>
        <w:spacing w:before="156" w:beforeLines="50" w:after="156" w:afterLines="50" w:line="480" w:lineRule="auto"/>
        <w:ind w:firstLine="0" w:firstLineChars="0"/>
        <w:jc w:val="center"/>
        <w:rPr>
          <w:rFonts w:hint="eastAsia" w:ascii="楷体_GB2312" w:hAnsi="楷体_GB2312" w:eastAsia="楷体_GB2312" w:cs="楷体_GB2312"/>
          <w:b/>
          <w:color w:val="auto"/>
          <w:sz w:val="52"/>
          <w:szCs w:val="52"/>
          <w:highlight w:val="none"/>
          <w:lang w:val="en-US" w:eastAsia="zh-CN"/>
        </w:rPr>
      </w:pPr>
      <w:bookmarkStart w:id="0" w:name="_Toc398644780"/>
    </w:p>
    <w:p w14:paraId="1F90097D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56"/>
          <w:szCs w:val="56"/>
          <w:highlight w:val="none"/>
        </w:rPr>
      </w:pP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</w:rPr>
        <w:t>福州市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eastAsia="zh-CN"/>
        </w:rPr>
        <w:t>洪塘大桥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val="en-US" w:eastAsia="zh-CN"/>
        </w:rPr>
        <w:t>主桥</w:t>
      </w:r>
    </w:p>
    <w:p w14:paraId="74437847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52"/>
          <w:szCs w:val="52"/>
          <w:highlight w:val="none"/>
        </w:rPr>
      </w:pP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eastAsia="zh-CN"/>
        </w:rPr>
        <w:t>健康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</w:rPr>
        <w:t>监测月报</w:t>
      </w:r>
    </w:p>
    <w:p w14:paraId="4CCA45A5">
      <w:pPr>
        <w:pStyle w:val="2"/>
        <w:spacing w:before="156" w:beforeLines="50" w:after="156" w:afterLines="50" w:line="480" w:lineRule="auto"/>
        <w:ind w:firstLine="0" w:firstLineChars="0"/>
        <w:jc w:val="center"/>
        <w:rPr>
          <w:bCs/>
          <w:color w:val="auto"/>
          <w:sz w:val="30"/>
          <w:szCs w:val="30"/>
          <w:highlight w:val="none"/>
        </w:rPr>
      </w:pPr>
      <w:r>
        <w:rPr>
          <w:rFonts w:hint="eastAsia"/>
          <w:bCs/>
          <w:color w:val="auto"/>
          <w:sz w:val="30"/>
          <w:szCs w:val="30"/>
          <w:highlight w:val="none"/>
        </w:rPr>
        <w:t>（</w:t>
      </w:r>
      <w:r>
        <w:rPr>
          <w:bCs/>
          <w:color w:val="auto"/>
          <w:sz w:val="30"/>
          <w:szCs w:val="30"/>
          <w:highlight w:val="none"/>
        </w:rPr>
        <w:t>监测时间：202</w:t>
      </w:r>
      <w:r>
        <w:rPr>
          <w:rFonts w:hint="eastAsia"/>
          <w:bCs/>
          <w:color w:val="auto"/>
          <w:sz w:val="30"/>
          <w:szCs w:val="30"/>
          <w:highlight w:val="none"/>
          <w:lang w:val="en-US" w:eastAsia="zh-CN"/>
        </w:rPr>
        <w:t>5</w:t>
      </w:r>
      <w:r>
        <w:rPr>
          <w:bCs/>
          <w:color w:val="auto"/>
          <w:sz w:val="30"/>
          <w:szCs w:val="30"/>
          <w:highlight w:val="none"/>
        </w:rPr>
        <w:t>年</w:t>
      </w:r>
      <w:r>
        <w:rPr>
          <w:rFonts w:hint="eastAsia"/>
          <w:bCs/>
          <w:color w:val="auto"/>
          <w:sz w:val="30"/>
          <w:szCs w:val="30"/>
          <w:highlight w:val="none"/>
          <w:lang w:val="en-US" w:eastAsia="zh-CN"/>
        </w:rPr>
        <w:t>12</w:t>
      </w:r>
      <w:r>
        <w:rPr>
          <w:bCs/>
          <w:color w:val="auto"/>
          <w:sz w:val="30"/>
          <w:szCs w:val="30"/>
          <w:highlight w:val="none"/>
        </w:rPr>
        <w:t>月</w:t>
      </w:r>
      <w:r>
        <w:rPr>
          <w:rFonts w:hint="eastAsia"/>
          <w:bCs/>
          <w:color w:val="auto"/>
          <w:sz w:val="30"/>
          <w:szCs w:val="30"/>
          <w:highlight w:val="none"/>
        </w:rPr>
        <w:t>）</w:t>
      </w:r>
    </w:p>
    <w:p w14:paraId="70172614">
      <w:pPr>
        <w:spacing w:before="156" w:beforeLines="50" w:after="156" w:afterLines="50" w:line="480" w:lineRule="auto"/>
        <w:ind w:firstLine="1687"/>
        <w:rPr>
          <w:rFonts w:eastAsia="黑体"/>
          <w:b/>
          <w:color w:val="auto"/>
          <w:sz w:val="84"/>
          <w:szCs w:val="84"/>
          <w:highlight w:val="none"/>
        </w:rPr>
      </w:pPr>
    </w:p>
    <w:p w14:paraId="1138E56C">
      <w:pPr>
        <w:pStyle w:val="2"/>
        <w:spacing w:before="156" w:beforeLines="50" w:after="156" w:afterLines="50" w:line="480" w:lineRule="auto"/>
        <w:rPr>
          <w:color w:val="auto"/>
          <w:highlight w:val="none"/>
        </w:rPr>
      </w:pPr>
    </w:p>
    <w:p w14:paraId="7A71D948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32"/>
          <w:szCs w:val="32"/>
          <w:highlight w:val="none"/>
        </w:rPr>
      </w:pPr>
    </w:p>
    <w:p w14:paraId="65D3825C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32"/>
          <w:szCs w:val="32"/>
          <w:highlight w:val="none"/>
        </w:rPr>
      </w:pPr>
    </w:p>
    <w:p w14:paraId="2E8DF8D5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rFonts w:hint="default" w:eastAsia="楷体_GB2312"/>
          <w:bCs/>
          <w:color w:val="auto"/>
          <w:sz w:val="30"/>
          <w:szCs w:val="30"/>
          <w:highlight w:val="none"/>
          <w:u w:val="single"/>
          <w:lang w:val="en-US" w:eastAsia="zh-CN"/>
        </w:rPr>
      </w:pPr>
      <w:r>
        <w:rPr>
          <w:bCs/>
          <w:color w:val="auto"/>
          <w:sz w:val="30"/>
          <w:szCs w:val="30"/>
          <w:highlight w:val="none"/>
        </w:rPr>
        <w:t>报告编号：</w:t>
      </w:r>
      <w:r>
        <w:rPr>
          <w:rFonts w:hint="eastAsia"/>
          <w:bCs/>
          <w:color w:val="auto"/>
          <w:sz w:val="30"/>
          <w:szCs w:val="30"/>
          <w:highlight w:val="none"/>
          <w:u w:val="single"/>
        </w:rPr>
        <w:t>BG02FQJC2200003-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41</w:t>
      </w:r>
    </w:p>
    <w:p w14:paraId="0AF16DE9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0000FF"/>
          <w:sz w:val="30"/>
          <w:szCs w:val="30"/>
          <w:highlight w:val="none"/>
          <w:u w:val="single"/>
        </w:rPr>
      </w:pPr>
      <w:r>
        <w:rPr>
          <w:bCs/>
          <w:color w:val="auto"/>
          <w:sz w:val="30"/>
          <w:szCs w:val="30"/>
          <w:highlight w:val="none"/>
        </w:rPr>
        <w:t>报告日期：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2</w:t>
      </w:r>
      <w:r>
        <w:rPr>
          <w:bCs/>
          <w:color w:val="auto"/>
          <w:sz w:val="30"/>
          <w:szCs w:val="30"/>
          <w:highlight w:val="none"/>
          <w:u w:val="single"/>
        </w:rPr>
        <w:t>02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6</w:t>
      </w:r>
      <w:r>
        <w:rPr>
          <w:bCs/>
          <w:color w:val="auto"/>
          <w:sz w:val="30"/>
          <w:szCs w:val="30"/>
          <w:highlight w:val="none"/>
          <w:u w:val="single"/>
        </w:rPr>
        <w:t>年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01</w:t>
      </w:r>
      <w:r>
        <w:rPr>
          <w:bCs/>
          <w:color w:val="auto"/>
          <w:sz w:val="30"/>
          <w:szCs w:val="30"/>
          <w:highlight w:val="none"/>
          <w:u w:val="single"/>
        </w:rPr>
        <w:t>月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10</w:t>
      </w:r>
      <w:r>
        <w:rPr>
          <w:bCs/>
          <w:color w:val="auto"/>
          <w:sz w:val="30"/>
          <w:szCs w:val="30"/>
          <w:highlight w:val="none"/>
          <w:u w:val="single"/>
        </w:rPr>
        <w:t>日</w:t>
      </w:r>
    </w:p>
    <w:p w14:paraId="00660426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auto"/>
          <w:sz w:val="30"/>
          <w:szCs w:val="30"/>
          <w:highlight w:val="none"/>
        </w:rPr>
      </w:pPr>
    </w:p>
    <w:p w14:paraId="5568D006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auto"/>
          <w:sz w:val="30"/>
          <w:szCs w:val="30"/>
          <w:highlight w:val="none"/>
        </w:rPr>
      </w:pPr>
    </w:p>
    <w:p w14:paraId="63D0AA50">
      <w:pPr>
        <w:spacing w:line="360" w:lineRule="auto"/>
        <w:ind w:firstLine="0" w:firstLineChars="0"/>
        <w:jc w:val="center"/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</w:rPr>
        <w:t>福建省建筑工程质量检测中心有限公司</w:t>
      </w:r>
    </w:p>
    <w:p w14:paraId="49EDD1D4">
      <w:pPr>
        <w:spacing w:before="156" w:beforeLines="50" w:after="156" w:afterLines="50" w:line="480" w:lineRule="auto"/>
        <w:ind w:firstLine="0" w:firstLineChars="0"/>
        <w:jc w:val="center"/>
        <w:rPr>
          <w:rFonts w:hint="eastAsia" w:ascii="楷体_GB2312" w:hAnsi="楷体_GB2312" w:eastAsia="楷体_GB2312" w:cs="楷体_GB2312"/>
          <w:b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  <w:lang w:val="en-US" w:eastAsia="zh-CN"/>
        </w:rPr>
        <w:br w:type="page"/>
      </w:r>
      <w:r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  <w:lang w:val="en-US" w:eastAsia="zh-CN"/>
        </w:rPr>
        <w:br w:type="page"/>
      </w:r>
    </w:p>
    <w:p w14:paraId="69FA6CBB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56"/>
          <w:szCs w:val="56"/>
          <w:highlight w:val="none"/>
        </w:rPr>
      </w:pP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</w:rPr>
        <w:t>福州市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eastAsia="zh-CN"/>
        </w:rPr>
        <w:t>洪塘大桥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val="en-US" w:eastAsia="zh-CN"/>
        </w:rPr>
        <w:t>主桥</w:t>
      </w:r>
    </w:p>
    <w:p w14:paraId="13959795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52"/>
          <w:szCs w:val="52"/>
          <w:highlight w:val="none"/>
        </w:rPr>
      </w:pP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  <w:lang w:eastAsia="zh-CN"/>
        </w:rPr>
        <w:t>健康</w:t>
      </w:r>
      <w:r>
        <w:rPr>
          <w:rFonts w:hint="eastAsia" w:ascii="楷体_GB2312" w:hAnsi="楷体_GB2312" w:cs="楷体_GB2312"/>
          <w:b/>
          <w:color w:val="auto"/>
          <w:sz w:val="56"/>
          <w:szCs w:val="56"/>
          <w:highlight w:val="none"/>
        </w:rPr>
        <w:t>监测月报</w:t>
      </w:r>
    </w:p>
    <w:p w14:paraId="6F3BE618">
      <w:pPr>
        <w:pStyle w:val="2"/>
        <w:spacing w:before="156" w:beforeLines="50" w:after="156" w:afterLines="50" w:line="480" w:lineRule="auto"/>
        <w:ind w:firstLine="0" w:firstLineChars="0"/>
        <w:jc w:val="center"/>
        <w:rPr>
          <w:bCs/>
          <w:color w:val="auto"/>
          <w:sz w:val="30"/>
          <w:szCs w:val="30"/>
          <w:highlight w:val="none"/>
        </w:rPr>
      </w:pPr>
      <w:r>
        <w:rPr>
          <w:rFonts w:hint="eastAsia"/>
          <w:bCs/>
          <w:color w:val="auto"/>
          <w:sz w:val="30"/>
          <w:szCs w:val="30"/>
          <w:highlight w:val="none"/>
        </w:rPr>
        <w:t>（</w:t>
      </w:r>
      <w:r>
        <w:rPr>
          <w:bCs/>
          <w:color w:val="auto"/>
          <w:sz w:val="30"/>
          <w:szCs w:val="30"/>
          <w:highlight w:val="none"/>
        </w:rPr>
        <w:t>监测时间：202</w:t>
      </w:r>
      <w:r>
        <w:rPr>
          <w:rFonts w:hint="eastAsia"/>
          <w:bCs/>
          <w:color w:val="auto"/>
          <w:sz w:val="30"/>
          <w:szCs w:val="30"/>
          <w:highlight w:val="none"/>
          <w:lang w:val="en-US" w:eastAsia="zh-CN"/>
        </w:rPr>
        <w:t>5</w:t>
      </w:r>
      <w:r>
        <w:rPr>
          <w:bCs/>
          <w:color w:val="auto"/>
          <w:sz w:val="30"/>
          <w:szCs w:val="30"/>
          <w:highlight w:val="none"/>
        </w:rPr>
        <w:t>年</w:t>
      </w:r>
      <w:r>
        <w:rPr>
          <w:rFonts w:hint="eastAsia"/>
          <w:bCs/>
          <w:color w:val="auto"/>
          <w:sz w:val="30"/>
          <w:szCs w:val="30"/>
          <w:highlight w:val="none"/>
          <w:lang w:val="en-US" w:eastAsia="zh-CN"/>
        </w:rPr>
        <w:t>12</w:t>
      </w:r>
      <w:r>
        <w:rPr>
          <w:bCs/>
          <w:color w:val="auto"/>
          <w:sz w:val="30"/>
          <w:szCs w:val="30"/>
          <w:highlight w:val="none"/>
        </w:rPr>
        <w:t>月</w:t>
      </w:r>
      <w:r>
        <w:rPr>
          <w:rFonts w:hint="eastAsia"/>
          <w:bCs/>
          <w:color w:val="auto"/>
          <w:sz w:val="30"/>
          <w:szCs w:val="30"/>
          <w:highlight w:val="none"/>
        </w:rPr>
        <w:t>）</w:t>
      </w:r>
    </w:p>
    <w:p w14:paraId="5EFE81C9">
      <w:pPr>
        <w:spacing w:before="156" w:beforeLines="50" w:after="156" w:afterLines="50" w:line="480" w:lineRule="auto"/>
        <w:ind w:firstLine="1687"/>
        <w:rPr>
          <w:rFonts w:eastAsia="黑体"/>
          <w:b/>
          <w:color w:val="auto"/>
          <w:sz w:val="84"/>
          <w:szCs w:val="84"/>
          <w:highlight w:val="none"/>
        </w:rPr>
      </w:pPr>
    </w:p>
    <w:p w14:paraId="493A2D9A">
      <w:pPr>
        <w:pStyle w:val="2"/>
        <w:spacing w:before="156" w:beforeLines="50" w:after="156" w:afterLines="50" w:line="480" w:lineRule="auto"/>
        <w:rPr>
          <w:color w:val="auto"/>
          <w:highlight w:val="none"/>
        </w:rPr>
      </w:pPr>
    </w:p>
    <w:tbl>
      <w:tblPr>
        <w:tblStyle w:val="31"/>
        <w:tblW w:w="0" w:type="auto"/>
        <w:tblInd w:w="2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745"/>
      </w:tblGrid>
      <w:tr w14:paraId="6FDF1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816" w:type="dxa"/>
            <w:tcBorders>
              <w:tl2br w:val="nil"/>
              <w:tr2bl w:val="nil"/>
            </w:tcBorders>
            <w:noWrap w:val="0"/>
            <w:vAlign w:val="top"/>
          </w:tcPr>
          <w:p w14:paraId="76CB6A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lang w:val="en-US" w:eastAsia="zh-CN"/>
              </w:rPr>
              <w:t>项目负责：</w:t>
            </w:r>
          </w:p>
        </w:tc>
        <w:tc>
          <w:tcPr>
            <w:tcW w:w="1745" w:type="dxa"/>
            <w:tcBorders>
              <w:tl2br w:val="nil"/>
              <w:tr2bl w:val="nil"/>
            </w:tcBorders>
            <w:noWrap w:val="0"/>
            <w:vAlign w:val="top"/>
          </w:tcPr>
          <w:p w14:paraId="28A4CA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lang w:val="en-US" w:eastAsia="zh-CN"/>
              </w:rPr>
              <w:drawing>
                <wp:inline distT="0" distB="0" distL="114300" distR="114300">
                  <wp:extent cx="626745" cy="382905"/>
                  <wp:effectExtent l="0" t="0" r="13335" b="13335"/>
                  <wp:docPr id="1" name="图片 48" descr="林迪南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8" descr="林迪南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584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816" w:type="dxa"/>
            <w:tcBorders>
              <w:tl2br w:val="nil"/>
              <w:tr2bl w:val="nil"/>
            </w:tcBorders>
            <w:noWrap w:val="0"/>
            <w:vAlign w:val="top"/>
          </w:tcPr>
          <w:p w14:paraId="269589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lang w:val="en-US" w:eastAsia="zh-CN"/>
              </w:rPr>
              <w:t>审    核：</w:t>
            </w:r>
          </w:p>
        </w:tc>
        <w:tc>
          <w:tcPr>
            <w:tcW w:w="1745" w:type="dxa"/>
            <w:tcBorders>
              <w:tl2br w:val="nil"/>
              <w:tr2bl w:val="nil"/>
            </w:tcBorders>
            <w:noWrap w:val="0"/>
            <w:vAlign w:val="top"/>
          </w:tcPr>
          <w:p w14:paraId="3FD951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drawing>
                <wp:inline distT="0" distB="0" distL="114300" distR="114300">
                  <wp:extent cx="681990" cy="321310"/>
                  <wp:effectExtent l="0" t="0" r="3810" b="13970"/>
                  <wp:docPr id="2" name="图片 49" descr="88b1943d9ad3c5d12f7e1be399d2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9" descr="88b1943d9ad3c5d12f7e1be399d2c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EA3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816" w:type="dxa"/>
            <w:tcBorders>
              <w:tl2br w:val="nil"/>
              <w:tr2bl w:val="nil"/>
            </w:tcBorders>
            <w:noWrap w:val="0"/>
            <w:vAlign w:val="top"/>
          </w:tcPr>
          <w:p w14:paraId="213EF9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lang w:val="en-US" w:eastAsia="zh-CN"/>
              </w:rPr>
              <w:t>批    准：</w:t>
            </w:r>
          </w:p>
        </w:tc>
        <w:tc>
          <w:tcPr>
            <w:tcW w:w="1745" w:type="dxa"/>
            <w:tcBorders>
              <w:tl2br w:val="nil"/>
              <w:tr2bl w:val="nil"/>
            </w:tcBorders>
            <w:noWrap w:val="0"/>
            <w:vAlign w:val="top"/>
          </w:tcPr>
          <w:p w14:paraId="1F2578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楷体_GB2312" w:cs="Times New Roman"/>
                <w:color w:val="auto"/>
                <w:sz w:val="32"/>
                <w:szCs w:val="32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drawing>
                <wp:inline distT="0" distB="0" distL="114300" distR="114300">
                  <wp:extent cx="724535" cy="385445"/>
                  <wp:effectExtent l="0" t="0" r="6985" b="10795"/>
                  <wp:docPr id="3" name="图片 50" descr="JH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0" descr="JHRY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3F9D4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32"/>
          <w:szCs w:val="32"/>
          <w:highlight w:val="none"/>
        </w:rPr>
      </w:pPr>
    </w:p>
    <w:p w14:paraId="1AD569E3">
      <w:pPr>
        <w:spacing w:before="156" w:beforeLines="50" w:after="156" w:afterLines="50" w:line="480" w:lineRule="auto"/>
        <w:ind w:firstLine="0" w:firstLineChars="0"/>
        <w:jc w:val="center"/>
        <w:rPr>
          <w:rFonts w:ascii="楷体_GB2312" w:hAnsi="楷体_GB2312" w:cs="楷体_GB2312"/>
          <w:b/>
          <w:color w:val="auto"/>
          <w:sz w:val="32"/>
          <w:szCs w:val="32"/>
          <w:highlight w:val="none"/>
        </w:rPr>
      </w:pPr>
    </w:p>
    <w:p w14:paraId="22C5EA9F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rFonts w:hint="default" w:eastAsia="楷体_GB2312"/>
          <w:bCs/>
          <w:color w:val="auto"/>
          <w:sz w:val="30"/>
          <w:szCs w:val="30"/>
          <w:highlight w:val="none"/>
          <w:u w:val="single"/>
          <w:lang w:val="en-US" w:eastAsia="zh-CN"/>
        </w:rPr>
      </w:pPr>
      <w:r>
        <w:rPr>
          <w:bCs/>
          <w:color w:val="auto"/>
          <w:sz w:val="30"/>
          <w:szCs w:val="30"/>
          <w:highlight w:val="none"/>
        </w:rPr>
        <w:t>报告编号：</w:t>
      </w:r>
      <w:r>
        <w:rPr>
          <w:rFonts w:hint="eastAsia"/>
          <w:bCs/>
          <w:color w:val="auto"/>
          <w:sz w:val="30"/>
          <w:szCs w:val="30"/>
          <w:highlight w:val="none"/>
          <w:u w:val="single"/>
        </w:rPr>
        <w:t>BG02FQJC2200003-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41</w:t>
      </w:r>
    </w:p>
    <w:p w14:paraId="3E75AD54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0000FF"/>
          <w:sz w:val="30"/>
          <w:szCs w:val="30"/>
          <w:highlight w:val="none"/>
          <w:u w:val="single"/>
        </w:rPr>
      </w:pPr>
      <w:r>
        <w:rPr>
          <w:bCs/>
          <w:color w:val="auto"/>
          <w:sz w:val="30"/>
          <w:szCs w:val="30"/>
          <w:highlight w:val="none"/>
        </w:rPr>
        <w:t>报告日期：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2</w:t>
      </w:r>
      <w:r>
        <w:rPr>
          <w:bCs/>
          <w:color w:val="auto"/>
          <w:sz w:val="30"/>
          <w:szCs w:val="30"/>
          <w:highlight w:val="none"/>
          <w:u w:val="single"/>
        </w:rPr>
        <w:t>02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6</w:t>
      </w:r>
      <w:r>
        <w:rPr>
          <w:bCs/>
          <w:color w:val="auto"/>
          <w:sz w:val="30"/>
          <w:szCs w:val="30"/>
          <w:highlight w:val="none"/>
          <w:u w:val="single"/>
        </w:rPr>
        <w:t>年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01</w:t>
      </w:r>
      <w:r>
        <w:rPr>
          <w:bCs/>
          <w:color w:val="auto"/>
          <w:sz w:val="30"/>
          <w:szCs w:val="30"/>
          <w:highlight w:val="none"/>
          <w:u w:val="single"/>
        </w:rPr>
        <w:t>月</w:t>
      </w:r>
      <w:r>
        <w:rPr>
          <w:rFonts w:hint="eastAsia"/>
          <w:bCs/>
          <w:color w:val="auto"/>
          <w:sz w:val="30"/>
          <w:szCs w:val="30"/>
          <w:highlight w:val="none"/>
          <w:u w:val="single"/>
          <w:lang w:val="en-US" w:eastAsia="zh-CN"/>
        </w:rPr>
        <w:t>10</w:t>
      </w:r>
      <w:r>
        <w:rPr>
          <w:bCs/>
          <w:color w:val="auto"/>
          <w:sz w:val="30"/>
          <w:szCs w:val="30"/>
          <w:highlight w:val="none"/>
          <w:u w:val="single"/>
        </w:rPr>
        <w:t>日</w:t>
      </w:r>
    </w:p>
    <w:p w14:paraId="03661868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auto"/>
          <w:sz w:val="30"/>
          <w:szCs w:val="30"/>
          <w:highlight w:val="none"/>
        </w:rPr>
      </w:pPr>
    </w:p>
    <w:p w14:paraId="5BD85342">
      <w:pPr>
        <w:pStyle w:val="2"/>
        <w:spacing w:before="156" w:beforeLines="50" w:after="156" w:afterLines="50" w:line="480" w:lineRule="auto"/>
        <w:ind w:firstLine="2157" w:firstLineChars="719"/>
        <w:jc w:val="left"/>
        <w:rPr>
          <w:bCs/>
          <w:color w:val="auto"/>
          <w:sz w:val="30"/>
          <w:szCs w:val="30"/>
          <w:highlight w:val="none"/>
        </w:rPr>
      </w:pPr>
    </w:p>
    <w:p w14:paraId="59A68E81">
      <w:pPr>
        <w:spacing w:line="360" w:lineRule="auto"/>
        <w:ind w:firstLine="0" w:firstLineChars="0"/>
        <w:jc w:val="center"/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</w:rPr>
        <w:t>福建省建筑工程质量检测中心有限公司</w:t>
      </w:r>
    </w:p>
    <w:p w14:paraId="526936E1">
      <w:pPr>
        <w:jc w:val="center"/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auto"/>
          <w:sz w:val="28"/>
          <w:szCs w:val="28"/>
          <w:highlight w:val="none"/>
          <w:lang w:val="en-US" w:eastAsia="zh-CN"/>
        </w:rPr>
        <w:br w:type="page"/>
      </w:r>
    </w:p>
    <w:p w14:paraId="0A67D7A6">
      <w:pPr>
        <w:jc w:val="both"/>
        <w:rPr>
          <w:rFonts w:hint="default"/>
          <w:highlight w:val="none"/>
        </w:rPr>
        <w:sectPr>
          <w:footerReference r:id="rId5" w:type="default"/>
          <w:pgSz w:w="11906" w:h="16838"/>
          <w:pgMar w:top="567" w:right="964" w:bottom="964" w:left="1701" w:header="567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6FB5962D">
      <w:pPr>
        <w:jc w:val="center"/>
        <w:rPr>
          <w:rFonts w:hint="default" w:ascii="Times New Roman" w:hAnsi="Times New Roman" w:eastAsia="黑体" w:cs="Times New Roman"/>
          <w:sz w:val="36"/>
          <w:highlight w:val="none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highlight w:val="none"/>
        </w:rPr>
        <w:t>桥梁</w:t>
      </w:r>
      <w:r>
        <w:rPr>
          <w:rFonts w:hint="eastAsia" w:eastAsia="黑体" w:cs="Times New Roman"/>
          <w:b/>
          <w:bCs/>
          <w:sz w:val="32"/>
          <w:szCs w:val="32"/>
          <w:highlight w:val="none"/>
          <w:lang w:eastAsia="zh-CN"/>
        </w:rPr>
        <w:t>监测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highlight w:val="none"/>
        </w:rPr>
        <w:t>报告</w:t>
      </w:r>
      <w:bookmarkEnd w:id="0"/>
    </w:p>
    <w:tbl>
      <w:tblPr>
        <w:tblStyle w:val="30"/>
        <w:tblpPr w:leftFromText="181" w:rightFromText="181" w:vertAnchor="text" w:tblpX="114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783"/>
        <w:gridCol w:w="3960"/>
        <w:gridCol w:w="1263"/>
        <w:gridCol w:w="2444"/>
      </w:tblGrid>
      <w:tr w14:paraId="36CD0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735" w:type="dxa"/>
            <w:vMerge w:val="restart"/>
            <w:noWrap w:val="0"/>
            <w:vAlign w:val="center"/>
          </w:tcPr>
          <w:p w14:paraId="505A2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highlight w:val="none"/>
              </w:rPr>
              <w:t>委托单位</w:t>
            </w:r>
          </w:p>
        </w:tc>
        <w:tc>
          <w:tcPr>
            <w:tcW w:w="783" w:type="dxa"/>
            <w:noWrap w:val="0"/>
            <w:vAlign w:val="center"/>
          </w:tcPr>
          <w:p w14:paraId="528E8D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highlight w:val="none"/>
              </w:rPr>
              <w:t>名称</w:t>
            </w:r>
          </w:p>
        </w:tc>
        <w:tc>
          <w:tcPr>
            <w:tcW w:w="3960" w:type="dxa"/>
            <w:noWrap w:val="0"/>
            <w:vAlign w:val="center"/>
          </w:tcPr>
          <w:p w14:paraId="7BB0B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eastAsia" w:ascii="Times New Roman" w:hAnsi="Times New Roman" w:eastAsia="楷体_GB2312" w:cs="Times New Roman"/>
                <w:highlight w:val="none"/>
                <w:lang w:eastAsia="zh-CN"/>
              </w:rPr>
              <w:t>福州市公路事业发展直属中心</w:t>
            </w:r>
          </w:p>
        </w:tc>
        <w:tc>
          <w:tcPr>
            <w:tcW w:w="1263" w:type="dxa"/>
            <w:noWrap w:val="0"/>
            <w:vAlign w:val="center"/>
          </w:tcPr>
          <w:p w14:paraId="34B1C5D2">
            <w:pPr>
              <w:pStyle w:val="73"/>
              <w:keepNext w:val="0"/>
              <w:keepLines w:val="0"/>
              <w:widowControl w:val="0"/>
              <w:suppressLineNumbers w:val="0"/>
              <w:pBdr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黑体" w:cs="Times New Roman"/>
                <w:kern w:val="2"/>
                <w:szCs w:val="24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Cs w:val="24"/>
                <w:highlight w:val="none"/>
              </w:rPr>
              <w:t>合同编号</w:t>
            </w:r>
          </w:p>
        </w:tc>
        <w:tc>
          <w:tcPr>
            <w:tcW w:w="2444" w:type="dxa"/>
            <w:noWrap w:val="0"/>
            <w:vAlign w:val="center"/>
          </w:tcPr>
          <w:p w14:paraId="030FA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HT02FQ2500005</w:t>
            </w:r>
          </w:p>
        </w:tc>
      </w:tr>
      <w:tr w14:paraId="46461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735" w:type="dxa"/>
            <w:vMerge w:val="continue"/>
            <w:noWrap w:val="0"/>
            <w:vAlign w:val="center"/>
          </w:tcPr>
          <w:p w14:paraId="56CA1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</w:p>
        </w:tc>
        <w:tc>
          <w:tcPr>
            <w:tcW w:w="783" w:type="dxa"/>
            <w:noWrap w:val="0"/>
            <w:vAlign w:val="center"/>
          </w:tcPr>
          <w:p w14:paraId="7E6C2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highlight w:val="none"/>
              </w:rPr>
              <w:t>地址</w:t>
            </w:r>
          </w:p>
        </w:tc>
        <w:tc>
          <w:tcPr>
            <w:tcW w:w="3960" w:type="dxa"/>
            <w:noWrap w:val="0"/>
            <w:vAlign w:val="center"/>
          </w:tcPr>
          <w:p w14:paraId="6A9AA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cs="Times New Roman"/>
                <w:highlight w:val="none"/>
              </w:rPr>
              <w:t>福州市鼓楼区洪甘路8号</w:t>
            </w:r>
          </w:p>
        </w:tc>
        <w:tc>
          <w:tcPr>
            <w:tcW w:w="1263" w:type="dxa"/>
            <w:noWrap w:val="0"/>
            <w:vAlign w:val="center"/>
          </w:tcPr>
          <w:p w14:paraId="42964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eastAsia" w:eastAsia="黑体" w:cs="Times New Roman"/>
                <w:highlight w:val="none"/>
                <w:lang w:eastAsia="zh-CN"/>
              </w:rPr>
              <w:t>监测</w:t>
            </w:r>
            <w:r>
              <w:rPr>
                <w:rFonts w:hint="default" w:ascii="Times New Roman" w:hAnsi="Times New Roman" w:eastAsia="黑体" w:cs="Times New Roman"/>
                <w:highlight w:val="none"/>
              </w:rPr>
              <w:t>时间</w:t>
            </w:r>
          </w:p>
        </w:tc>
        <w:tc>
          <w:tcPr>
            <w:tcW w:w="2444" w:type="dxa"/>
            <w:noWrap w:val="0"/>
            <w:vAlign w:val="center"/>
          </w:tcPr>
          <w:p w14:paraId="791E5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Cs w:val="21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highlight w:val="none"/>
              </w:rPr>
              <w:t>20</w:t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  <w:t>2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highlight w:val="none"/>
              </w:rPr>
              <w:t>.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highlight w:val="none"/>
              </w:rPr>
              <w:t>.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highlight w:val="none"/>
              </w:rPr>
              <w:t>～20</w:t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  <w:t>2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highlight w:val="none"/>
              </w:rPr>
              <w:t>.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  <w:t>.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31</w:t>
            </w:r>
          </w:p>
        </w:tc>
      </w:tr>
      <w:tr w14:paraId="4AA8A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518" w:type="dxa"/>
            <w:gridSpan w:val="2"/>
            <w:noWrap w:val="0"/>
            <w:vAlign w:val="center"/>
          </w:tcPr>
          <w:p w14:paraId="0EA94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highlight w:val="none"/>
              </w:rPr>
              <w:t>工程名称</w:t>
            </w:r>
          </w:p>
        </w:tc>
        <w:tc>
          <w:tcPr>
            <w:tcW w:w="3960" w:type="dxa"/>
            <w:noWrap w:val="0"/>
            <w:vAlign w:val="center"/>
          </w:tcPr>
          <w:p w14:paraId="2D215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eastAsia" w:ascii="Times New Roman" w:hAnsi="Times New Roman" w:eastAsia="楷体_GB2312" w:cs="Times New Roman"/>
                <w:highlight w:val="none"/>
                <w:lang w:eastAsia="zh-CN"/>
              </w:rPr>
              <w:t>福州市洪塘大桥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主桥</w:t>
            </w:r>
          </w:p>
        </w:tc>
        <w:tc>
          <w:tcPr>
            <w:tcW w:w="1263" w:type="dxa"/>
            <w:noWrap w:val="0"/>
            <w:vAlign w:val="center"/>
          </w:tcPr>
          <w:p w14:paraId="6D9D5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黑体" w:cs="Times New Roman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highlight w:val="none"/>
              </w:rPr>
              <w:t>工程地点</w:t>
            </w:r>
          </w:p>
        </w:tc>
        <w:tc>
          <w:tcPr>
            <w:tcW w:w="2444" w:type="dxa"/>
            <w:noWrap w:val="0"/>
            <w:vAlign w:val="center"/>
          </w:tcPr>
          <w:p w14:paraId="48356C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Cs w:val="21"/>
                <w:highlight w:val="none"/>
                <w:lang w:eastAsia="zh-CN"/>
              </w:rPr>
            </w:pPr>
            <w:r>
              <w:rPr>
                <w:rFonts w:hint="eastAsia" w:cs="Times New Roman"/>
                <w:highlight w:val="none"/>
                <w:lang w:eastAsia="zh-CN"/>
              </w:rPr>
              <w:t>福州</w:t>
            </w:r>
            <w:r>
              <w:rPr>
                <w:rFonts w:hint="default" w:ascii="Times New Roman" w:hAnsi="Times New Roman" w:cs="Times New Roman"/>
                <w:highlight w:val="none"/>
                <w:lang w:eastAsia="zh-CN"/>
              </w:rPr>
              <w:t>市</w:t>
            </w:r>
          </w:p>
        </w:tc>
      </w:tr>
      <w:tr w14:paraId="71F998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0" w:hRule="atLeast"/>
        </w:trPr>
        <w:tc>
          <w:tcPr>
            <w:tcW w:w="1518" w:type="dxa"/>
            <w:gridSpan w:val="2"/>
            <w:noWrap w:val="0"/>
            <w:vAlign w:val="center"/>
          </w:tcPr>
          <w:p w14:paraId="0D598AFA">
            <w:pPr>
              <w:keepNext w:val="0"/>
              <w:keepLines w:val="0"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黑体" w:cs="Times New Roman"/>
                <w:color w:val="FF0000"/>
                <w:szCs w:val="21"/>
                <w:highlight w:val="none"/>
              </w:rPr>
            </w:pPr>
            <w:r>
              <w:rPr>
                <w:rFonts w:hint="eastAsia" w:eastAsia="黑体" w:cs="Times New Roman"/>
                <w:highlight w:val="none"/>
                <w:lang w:eastAsia="zh-CN"/>
              </w:rPr>
              <w:t>监</w:t>
            </w:r>
            <w:r>
              <w:rPr>
                <w:rFonts w:hint="default" w:ascii="Times New Roman" w:hAnsi="Times New Roman" w:eastAsia="黑体" w:cs="Times New Roman"/>
                <w:highlight w:val="none"/>
                <w:lang w:eastAsia="zh-CN"/>
              </w:rPr>
              <w:t>测</w:t>
            </w:r>
            <w:r>
              <w:rPr>
                <w:rFonts w:hint="default" w:ascii="Times New Roman" w:hAnsi="Times New Roman" w:eastAsia="黑体" w:cs="Times New Roman"/>
                <w:highlight w:val="none"/>
              </w:rPr>
              <w:t>结果</w:t>
            </w:r>
          </w:p>
        </w:tc>
        <w:tc>
          <w:tcPr>
            <w:tcW w:w="7667" w:type="dxa"/>
            <w:gridSpan w:val="3"/>
            <w:noWrap w:val="0"/>
            <w:vAlign w:val="top"/>
          </w:tcPr>
          <w:p w14:paraId="2CC5EAAA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本报告对福州市洪塘大桥</w:t>
            </w:r>
            <w:r>
              <w:rPr>
                <w:rFonts w:hint="eastAsia"/>
                <w:highlight w:val="none"/>
                <w:lang w:val="en-US" w:eastAsia="zh-CN"/>
              </w:rPr>
              <w:t>主桥</w:t>
            </w:r>
            <w:r>
              <w:rPr>
                <w:rFonts w:hint="default"/>
                <w:highlight w:val="none"/>
              </w:rPr>
              <w:t>自202</w:t>
            </w:r>
            <w:r>
              <w:rPr>
                <w:rFonts w:hint="eastAsia"/>
                <w:highlight w:val="none"/>
                <w:lang w:val="en-US" w:eastAsia="zh-CN"/>
              </w:rPr>
              <w:t>5</w:t>
            </w:r>
            <w:r>
              <w:rPr>
                <w:rFonts w:hint="default"/>
                <w:highlight w:val="none"/>
              </w:rPr>
              <w:t>年</w:t>
            </w:r>
            <w:r>
              <w:rPr>
                <w:rFonts w:hint="eastAsia"/>
                <w:highlight w:val="none"/>
                <w:lang w:val="en-US" w:eastAsia="zh-CN"/>
              </w:rPr>
              <w:t>12</w:t>
            </w:r>
            <w:r>
              <w:rPr>
                <w:rFonts w:hint="default"/>
                <w:highlight w:val="none"/>
              </w:rPr>
              <w:t>月1日至202</w:t>
            </w:r>
            <w:r>
              <w:rPr>
                <w:rFonts w:hint="eastAsia"/>
                <w:highlight w:val="none"/>
                <w:lang w:val="en-US" w:eastAsia="zh-CN"/>
              </w:rPr>
              <w:t>5</w:t>
            </w:r>
            <w:r>
              <w:rPr>
                <w:rFonts w:hint="default"/>
                <w:highlight w:val="none"/>
              </w:rPr>
              <w:t>年</w:t>
            </w:r>
            <w:r>
              <w:rPr>
                <w:rFonts w:hint="eastAsia"/>
                <w:highlight w:val="none"/>
                <w:lang w:val="en-US" w:eastAsia="zh-CN"/>
              </w:rPr>
              <w:t>12</w:t>
            </w:r>
            <w:r>
              <w:rPr>
                <w:rFonts w:hint="default"/>
                <w:highlight w:val="none"/>
              </w:rPr>
              <w:t>月</w:t>
            </w:r>
            <w:r>
              <w:rPr>
                <w:rFonts w:hint="eastAsia"/>
                <w:highlight w:val="none"/>
                <w:lang w:val="en-US" w:eastAsia="zh-CN"/>
              </w:rPr>
              <w:t>31</w:t>
            </w:r>
            <w:r>
              <w:rPr>
                <w:rFonts w:hint="default"/>
                <w:highlight w:val="none"/>
              </w:rPr>
              <w:t>日的监测数据进行了汇总和分析，具体数据详见附页，主要监测结论如下：</w:t>
            </w:r>
          </w:p>
          <w:p w14:paraId="292941C2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highlight w:val="none"/>
                <w:lang w:eastAsia="zh-CN"/>
              </w:rPr>
              <w:t>主梁线形</w:t>
            </w:r>
          </w:p>
          <w:p w14:paraId="260FB6C1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1#测点</w:t>
            </w:r>
            <w:r>
              <w:rPr>
                <w:rFonts w:hint="eastAsia"/>
                <w:highlight w:val="none"/>
              </w:rPr>
              <w:t>高程累计变化范围在</w:t>
            </w:r>
            <w:r>
              <w:rPr>
                <w:rFonts w:hint="eastAsia"/>
                <w:highlight w:val="none"/>
                <w:lang w:val="en-US" w:eastAsia="zh-CN"/>
              </w:rPr>
              <w:t>-15.3</w:t>
            </w:r>
            <w:r>
              <w:rPr>
                <w:rFonts w:hint="eastAsia"/>
                <w:highlight w:val="none"/>
              </w:rPr>
              <w:t>m</w:t>
            </w:r>
            <w:r>
              <w:rPr>
                <w:rFonts w:hint="eastAsia"/>
                <w:highlight w:val="none"/>
                <w:lang w:val="en-US" w:eastAsia="zh-CN"/>
              </w:rPr>
              <w:t>m</w:t>
            </w:r>
            <w:r>
              <w:rPr>
                <w:rFonts w:hint="eastAsia"/>
                <w:highlight w:val="none"/>
              </w:rPr>
              <w:t>~</w:t>
            </w:r>
            <w:r>
              <w:rPr>
                <w:rFonts w:hint="eastAsia"/>
                <w:highlight w:val="none"/>
                <w:lang w:val="en-US" w:eastAsia="zh-CN"/>
              </w:rPr>
              <w:t>12.6m</w:t>
            </w:r>
            <w:r>
              <w:rPr>
                <w:rFonts w:hint="eastAsia"/>
                <w:highlight w:val="none"/>
              </w:rPr>
              <w:t>m之间，</w:t>
            </w:r>
            <w:r>
              <w:rPr>
                <w:rFonts w:hint="eastAsia"/>
                <w:highlight w:val="none"/>
                <w:lang w:val="en-US" w:eastAsia="zh-CN"/>
              </w:rPr>
              <w:t>2#测点</w:t>
            </w:r>
            <w:r>
              <w:rPr>
                <w:rFonts w:hint="eastAsia"/>
                <w:highlight w:val="none"/>
              </w:rPr>
              <w:t>高程累计变化范围在</w:t>
            </w:r>
            <w:r>
              <w:rPr>
                <w:rFonts w:hint="eastAsia"/>
                <w:highlight w:val="none"/>
                <w:lang w:val="en-US" w:eastAsia="zh-CN"/>
              </w:rPr>
              <w:t>-12.6</w:t>
            </w:r>
            <w:r>
              <w:rPr>
                <w:rFonts w:hint="eastAsia"/>
                <w:highlight w:val="none"/>
              </w:rPr>
              <w:t>m</w:t>
            </w:r>
            <w:r>
              <w:rPr>
                <w:rFonts w:hint="eastAsia"/>
                <w:highlight w:val="none"/>
                <w:lang w:val="en-US" w:eastAsia="zh-CN"/>
              </w:rPr>
              <w:t>m</w:t>
            </w:r>
            <w:r>
              <w:rPr>
                <w:rFonts w:hint="eastAsia"/>
                <w:highlight w:val="none"/>
              </w:rPr>
              <w:t>~</w:t>
            </w:r>
            <w:r>
              <w:rPr>
                <w:rFonts w:hint="eastAsia"/>
                <w:highlight w:val="none"/>
                <w:lang w:val="en-US" w:eastAsia="zh-CN"/>
              </w:rPr>
              <w:t>6.9m</w:t>
            </w:r>
            <w:r>
              <w:rPr>
                <w:rFonts w:hint="eastAsia"/>
                <w:highlight w:val="none"/>
              </w:rPr>
              <w:t>m之间，</w:t>
            </w:r>
            <w:r>
              <w:rPr>
                <w:rFonts w:hint="eastAsia"/>
                <w:highlight w:val="none"/>
                <w:lang w:val="en-US" w:eastAsia="zh-CN"/>
              </w:rPr>
              <w:t>3#测点</w:t>
            </w:r>
            <w:r>
              <w:rPr>
                <w:rFonts w:hint="eastAsia"/>
                <w:highlight w:val="none"/>
              </w:rPr>
              <w:t>高程累计变化范围在-</w:t>
            </w:r>
            <w:r>
              <w:rPr>
                <w:rFonts w:hint="eastAsia"/>
                <w:highlight w:val="none"/>
                <w:lang w:val="en-US" w:eastAsia="zh-CN"/>
              </w:rPr>
              <w:t>8.8</w:t>
            </w:r>
            <w:r>
              <w:rPr>
                <w:rFonts w:hint="eastAsia"/>
                <w:highlight w:val="none"/>
              </w:rPr>
              <w:t>m</w:t>
            </w:r>
            <w:r>
              <w:rPr>
                <w:rFonts w:hint="eastAsia"/>
                <w:highlight w:val="none"/>
                <w:lang w:val="en-US" w:eastAsia="zh-CN"/>
              </w:rPr>
              <w:t>m</w:t>
            </w:r>
            <w:r>
              <w:rPr>
                <w:rFonts w:hint="eastAsia"/>
                <w:highlight w:val="none"/>
              </w:rPr>
              <w:t>~</w:t>
            </w:r>
            <w:r>
              <w:rPr>
                <w:rFonts w:hint="eastAsia"/>
                <w:highlight w:val="none"/>
                <w:lang w:val="en-US" w:eastAsia="zh-CN"/>
              </w:rPr>
              <w:t>9.7m</w:t>
            </w:r>
            <w:r>
              <w:rPr>
                <w:rFonts w:hint="eastAsia"/>
                <w:highlight w:val="none"/>
              </w:rPr>
              <w:t>m之间，桥面线形未见明显变化。</w:t>
            </w:r>
          </w:p>
          <w:p w14:paraId="0617E2F5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b/>
                <w:bCs/>
                <w:highlight w:val="none"/>
                <w:lang w:val="en-US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2、主缆线形</w:t>
            </w:r>
          </w:p>
          <w:p w14:paraId="4825703F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上游侧主缆</w:t>
            </w:r>
            <w:r>
              <w:rPr>
                <w:rFonts w:hint="eastAsia"/>
                <w:highlight w:val="none"/>
              </w:rPr>
              <w:t>高程累计变化范围在-</w:t>
            </w:r>
            <w:r>
              <w:rPr>
                <w:rFonts w:hint="eastAsia"/>
                <w:highlight w:val="none"/>
                <w:lang w:val="en-US" w:eastAsia="zh-CN"/>
              </w:rPr>
              <w:t>12.9</w:t>
            </w:r>
            <w:r>
              <w:rPr>
                <w:rFonts w:hint="eastAsia"/>
                <w:highlight w:val="none"/>
              </w:rPr>
              <w:t>mm~</w:t>
            </w:r>
            <w:r>
              <w:rPr>
                <w:rFonts w:hint="eastAsia"/>
                <w:highlight w:val="none"/>
                <w:lang w:val="en-US" w:eastAsia="zh-CN"/>
              </w:rPr>
              <w:t>12.7</w:t>
            </w:r>
            <w:r>
              <w:rPr>
                <w:rFonts w:hint="eastAsia"/>
                <w:highlight w:val="none"/>
              </w:rPr>
              <w:t>mm之间，</w:t>
            </w:r>
            <w:r>
              <w:rPr>
                <w:rFonts w:hint="eastAsia"/>
                <w:highlight w:val="none"/>
                <w:lang w:eastAsia="zh-CN"/>
              </w:rPr>
              <w:t>下游侧主缆</w:t>
            </w:r>
            <w:r>
              <w:rPr>
                <w:rFonts w:hint="eastAsia"/>
                <w:highlight w:val="none"/>
              </w:rPr>
              <w:t>高程累计变化范围在</w:t>
            </w:r>
            <w:r>
              <w:rPr>
                <w:rFonts w:hint="eastAsia"/>
                <w:highlight w:val="none"/>
                <w:lang w:val="en-US" w:eastAsia="zh-CN"/>
              </w:rPr>
              <w:t>-10.8</w:t>
            </w:r>
            <w:r>
              <w:rPr>
                <w:rFonts w:hint="eastAsia"/>
                <w:highlight w:val="none"/>
              </w:rPr>
              <w:t>mm~</w:t>
            </w:r>
            <w:r>
              <w:rPr>
                <w:rFonts w:hint="eastAsia"/>
                <w:highlight w:val="none"/>
                <w:lang w:val="en-US" w:eastAsia="zh-CN"/>
              </w:rPr>
              <w:t>10.6</w:t>
            </w:r>
            <w:r>
              <w:rPr>
                <w:rFonts w:hint="eastAsia"/>
                <w:highlight w:val="none"/>
              </w:rPr>
              <w:t>mm之间，</w:t>
            </w:r>
            <w:r>
              <w:rPr>
                <w:rFonts w:hint="eastAsia"/>
                <w:highlight w:val="none"/>
                <w:lang w:eastAsia="zh-CN"/>
              </w:rPr>
              <w:t>主缆</w:t>
            </w:r>
            <w:r>
              <w:rPr>
                <w:rFonts w:hint="eastAsia"/>
                <w:highlight w:val="none"/>
              </w:rPr>
              <w:t>线形未见明显变化。</w:t>
            </w:r>
          </w:p>
          <w:p w14:paraId="4C3BDE4B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3、</w:t>
            </w:r>
            <w:r>
              <w:rPr>
                <w:rFonts w:hint="eastAsia"/>
                <w:b/>
                <w:bCs/>
                <w:highlight w:val="none"/>
                <w:lang w:eastAsia="zh-CN"/>
              </w:rPr>
              <w:t>主塔变形</w:t>
            </w:r>
          </w:p>
          <w:p w14:paraId="506FEA7B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各测点纵桥向累计变化范围在</w:t>
            </w:r>
            <w:r>
              <w:rPr>
                <w:rFonts w:hint="eastAsia"/>
                <w:highlight w:val="none"/>
                <w:lang w:val="en-US" w:eastAsia="zh-CN"/>
              </w:rPr>
              <w:t>-2.2</w:t>
            </w:r>
            <w:r>
              <w:rPr>
                <w:rFonts w:hint="eastAsia"/>
                <w:highlight w:val="none"/>
                <w:lang w:eastAsia="zh-CN"/>
              </w:rPr>
              <w:t>mm～</w:t>
            </w:r>
            <w:r>
              <w:rPr>
                <w:rFonts w:hint="eastAsia"/>
                <w:highlight w:val="none"/>
                <w:lang w:val="en-US" w:eastAsia="zh-CN"/>
              </w:rPr>
              <w:t>2.6</w:t>
            </w:r>
            <w:r>
              <w:rPr>
                <w:rFonts w:hint="eastAsia"/>
                <w:highlight w:val="none"/>
                <w:lang w:eastAsia="zh-CN"/>
              </w:rPr>
              <w:t>mm之间，横桥向累计变化范围在</w:t>
            </w:r>
            <w:r>
              <w:rPr>
                <w:rFonts w:hint="eastAsia"/>
                <w:highlight w:val="none"/>
                <w:lang w:val="en-US" w:eastAsia="zh-CN"/>
              </w:rPr>
              <w:t>-1.0</w:t>
            </w:r>
            <w:r>
              <w:rPr>
                <w:rFonts w:hint="eastAsia"/>
                <w:highlight w:val="none"/>
                <w:lang w:eastAsia="zh-CN"/>
              </w:rPr>
              <w:t>mm～</w:t>
            </w:r>
            <w:r>
              <w:rPr>
                <w:rFonts w:hint="eastAsia"/>
                <w:highlight w:val="none"/>
                <w:lang w:val="en-US" w:eastAsia="zh-CN"/>
              </w:rPr>
              <w:t>3.3</w:t>
            </w:r>
            <w:r>
              <w:rPr>
                <w:rFonts w:hint="eastAsia"/>
                <w:highlight w:val="none"/>
                <w:lang w:eastAsia="zh-CN"/>
              </w:rPr>
              <w:t>mm之间。主塔水平位移未见明显变化。</w:t>
            </w:r>
          </w:p>
          <w:p w14:paraId="1BAB8883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b/>
                <w:bCs/>
                <w:highlight w:val="none"/>
                <w:lang w:val="en-US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4、交通状况监测</w:t>
            </w:r>
          </w:p>
          <w:p w14:paraId="6A56CA09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</w:rPr>
              <w:t>监测结果表明，</w:t>
            </w:r>
            <w:r>
              <w:rPr>
                <w:rFonts w:hint="eastAsia"/>
                <w:highlight w:val="none"/>
                <w:lang w:val="en-US" w:eastAsia="zh-CN"/>
              </w:rPr>
              <w:t>桥梁</w:t>
            </w:r>
            <w:r>
              <w:rPr>
                <w:rFonts w:hint="default"/>
                <w:highlight w:val="none"/>
              </w:rPr>
              <w:t>共通过车辆2309276辆，日均</w:t>
            </w:r>
            <w:r>
              <w:rPr>
                <w:rFonts w:hint="eastAsia"/>
                <w:highlight w:val="none"/>
                <w:lang w:val="en-US" w:eastAsia="zh-CN"/>
              </w:rPr>
              <w:t>74493</w:t>
            </w:r>
            <w:r>
              <w:rPr>
                <w:rFonts w:hint="default"/>
                <w:highlight w:val="none"/>
              </w:rPr>
              <w:t>辆。其中上行方向（</w:t>
            </w:r>
            <w:r>
              <w:rPr>
                <w:rFonts w:hint="eastAsia"/>
                <w:highlight w:val="none"/>
                <w:lang w:val="en-US" w:eastAsia="zh-CN"/>
              </w:rPr>
              <w:t>闽侯</w:t>
            </w:r>
            <w:r>
              <w:rPr>
                <w:rFonts w:hint="default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highlight w:val="none"/>
                <w:lang w:val="en-US" w:eastAsia="zh-CN"/>
              </w:rPr>
              <w:t>农大，</w:t>
            </w:r>
            <w:r>
              <w:rPr>
                <w:rFonts w:hint="default"/>
                <w:highlight w:val="none"/>
              </w:rPr>
              <w:t>车道1～</w:t>
            </w:r>
            <w:r>
              <w:rPr>
                <w:rFonts w:hint="eastAsia"/>
                <w:highlight w:val="none"/>
                <w:lang w:val="en-US" w:eastAsia="zh-CN"/>
              </w:rPr>
              <w:t>车道4</w:t>
            </w:r>
            <w:r>
              <w:rPr>
                <w:rFonts w:hint="default"/>
                <w:highlight w:val="none"/>
              </w:rPr>
              <w:t>）所通过车辆为1158758辆，下行方向（</w:t>
            </w:r>
            <w:r>
              <w:rPr>
                <w:rFonts w:hint="eastAsia"/>
                <w:highlight w:val="none"/>
                <w:lang w:val="en-US" w:eastAsia="zh-CN"/>
              </w:rPr>
              <w:t>农大</w:t>
            </w:r>
            <w:r>
              <w:rPr>
                <w:rFonts w:hint="default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highlight w:val="none"/>
                <w:lang w:val="en-US" w:eastAsia="zh-CN"/>
              </w:rPr>
              <w:t>闽侯，</w:t>
            </w:r>
            <w:r>
              <w:rPr>
                <w:rFonts w:hint="default"/>
                <w:highlight w:val="none"/>
              </w:rPr>
              <w:t>车道</w:t>
            </w:r>
            <w:r>
              <w:rPr>
                <w:rFonts w:hint="eastAsia"/>
                <w:highlight w:val="none"/>
                <w:lang w:val="en-US" w:eastAsia="zh-CN"/>
              </w:rPr>
              <w:t>5</w:t>
            </w:r>
            <w:r>
              <w:rPr>
                <w:rFonts w:hint="default"/>
                <w:highlight w:val="none"/>
              </w:rPr>
              <w:t>～</w:t>
            </w:r>
            <w:r>
              <w:rPr>
                <w:rFonts w:hint="eastAsia"/>
                <w:highlight w:val="none"/>
                <w:lang w:val="en-US" w:eastAsia="zh-CN"/>
              </w:rPr>
              <w:t>车道8</w:t>
            </w:r>
            <w:r>
              <w:rPr>
                <w:rFonts w:hint="default"/>
                <w:highlight w:val="none"/>
              </w:rPr>
              <w:t>）的1150518辆。期间系统记录到的最大车重</w:t>
            </w:r>
            <w:r>
              <w:rPr>
                <w:rFonts w:hint="default"/>
                <w:color w:val="auto"/>
                <w:highlight w:val="none"/>
              </w:rPr>
              <w:t>为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145.42</w:t>
            </w:r>
            <w:r>
              <w:rPr>
                <w:rFonts w:hint="default"/>
                <w:color w:val="auto"/>
                <w:highlight w:val="none"/>
              </w:rPr>
              <w:t>t，超过2.0倍设计车辆荷载110t。最大轴重29.92t，未达到1.5倍设计车辆荷载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。</w:t>
            </w:r>
          </w:p>
          <w:p w14:paraId="698F6949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default"/>
                <w:b/>
                <w:bCs/>
                <w:highlight w:val="none"/>
                <w:lang w:val="en-US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5、结构应变监测</w:t>
            </w:r>
          </w:p>
          <w:p w14:paraId="099451B3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箱梁</w:t>
            </w:r>
            <w:r>
              <w:rPr>
                <w:rFonts w:hint="eastAsia"/>
                <w:highlight w:val="none"/>
              </w:rPr>
              <w:t>监测结果表明，</w:t>
            </w:r>
            <w:r>
              <w:rPr>
                <w:rFonts w:hint="eastAsia"/>
                <w:highlight w:val="none"/>
                <w:lang w:val="en-US" w:eastAsia="zh-CN"/>
              </w:rPr>
              <w:t>各测点应变值在之间，</w:t>
            </w:r>
            <w:r>
              <w:rPr>
                <w:rFonts w:hint="eastAsia"/>
                <w:highlight w:val="none"/>
              </w:rPr>
              <w:t>均处于超限阈值范围之内，未出现超过各级超限阈值和报警的情况。</w:t>
            </w:r>
          </w:p>
          <w:p w14:paraId="63F4456B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桥塔监测结果表明，</w:t>
            </w:r>
            <w:r>
              <w:rPr>
                <w:rFonts w:hint="eastAsia"/>
                <w:highlight w:val="none"/>
                <w:lang w:val="en-US" w:eastAsia="zh-CN"/>
              </w:rPr>
              <w:t>各测点应变值在之间，</w:t>
            </w:r>
            <w:r>
              <w:rPr>
                <w:rFonts w:hint="eastAsia"/>
                <w:highlight w:val="none"/>
              </w:rPr>
              <w:t>均处于超限阈值范围之内，未出现超过各级超限阈值和报警的情况。</w:t>
            </w:r>
          </w:p>
          <w:p w14:paraId="59CFB493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6、主塔倾斜监测</w:t>
            </w:r>
          </w:p>
          <w:p w14:paraId="1F13158A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监测结果表明，各</w:t>
            </w:r>
            <w:r>
              <w:rPr>
                <w:rFonts w:hint="eastAsia"/>
                <w:highlight w:val="none"/>
              </w:rPr>
              <w:t>测点变化幅度不大，均处于超限阈值范围之内，未出现超过各级超限阈值和报警的情况。</w:t>
            </w:r>
          </w:p>
          <w:p w14:paraId="42A67C5A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</w:p>
          <w:p w14:paraId="1A402401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</w:p>
          <w:p w14:paraId="1FE2D412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</w:p>
          <w:p w14:paraId="7F0C5D9C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6000" w:firstLineChars="2500"/>
              <w:jc w:val="both"/>
              <w:textAlignment w:val="auto"/>
              <w:outlineLvl w:val="9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（转下页）</w:t>
            </w:r>
          </w:p>
          <w:p w14:paraId="537D11DF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/>
                <w:highlight w:val="none"/>
                <w:lang w:eastAsia="zh-CN"/>
              </w:rPr>
            </w:pPr>
          </w:p>
        </w:tc>
      </w:tr>
    </w:tbl>
    <w:p w14:paraId="5C024712">
      <w:pPr>
        <w:pStyle w:val="2"/>
        <w:rPr>
          <w:rFonts w:hint="default"/>
          <w:highlight w:val="none"/>
        </w:rPr>
      </w:pPr>
    </w:p>
    <w:p w14:paraId="6A3C7C40">
      <w:pPr>
        <w:ind w:firstLine="480"/>
        <w:jc w:val="right"/>
        <w:rPr>
          <w:highlight w:val="none"/>
        </w:rPr>
      </w:pPr>
      <w:r>
        <w:rPr>
          <w:highlight w:val="none"/>
        </w:rPr>
        <w:t>（续上页）</w:t>
      </w:r>
    </w:p>
    <w:tbl>
      <w:tblPr>
        <w:tblStyle w:val="30"/>
        <w:tblpPr w:leftFromText="181" w:rightFromText="181" w:vertAnchor="text" w:tblpX="114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7667"/>
      </w:tblGrid>
      <w:tr w14:paraId="7F6CA0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4" w:hRule="atLeast"/>
        </w:trPr>
        <w:tc>
          <w:tcPr>
            <w:tcW w:w="1518" w:type="dxa"/>
            <w:noWrap w:val="0"/>
            <w:vAlign w:val="center"/>
          </w:tcPr>
          <w:p w14:paraId="39A0B7A1">
            <w:pPr>
              <w:keepNext w:val="0"/>
              <w:keepLines w:val="0"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eastAsia" w:eastAsia="黑体" w:cs="Times New Roman"/>
                <w:highlight w:val="none"/>
                <w:lang w:eastAsia="zh-CN"/>
              </w:rPr>
            </w:pPr>
            <w:r>
              <w:rPr>
                <w:rFonts w:hint="eastAsia" w:eastAsia="黑体" w:cs="Times New Roman"/>
                <w:highlight w:val="none"/>
                <w:lang w:eastAsia="zh-CN"/>
              </w:rPr>
              <w:t>监</w:t>
            </w:r>
            <w:r>
              <w:rPr>
                <w:rFonts w:hint="default" w:ascii="Times New Roman" w:hAnsi="Times New Roman" w:eastAsia="黑体" w:cs="Times New Roman"/>
                <w:highlight w:val="none"/>
                <w:lang w:eastAsia="zh-CN"/>
              </w:rPr>
              <w:t>测</w:t>
            </w:r>
            <w:r>
              <w:rPr>
                <w:rFonts w:hint="default" w:ascii="Times New Roman" w:hAnsi="Times New Roman" w:eastAsia="黑体" w:cs="Times New Roman"/>
                <w:highlight w:val="none"/>
              </w:rPr>
              <w:t>结果</w:t>
            </w:r>
          </w:p>
        </w:tc>
        <w:tc>
          <w:tcPr>
            <w:tcW w:w="7667" w:type="dxa"/>
            <w:noWrap w:val="0"/>
            <w:vAlign w:val="top"/>
          </w:tcPr>
          <w:p w14:paraId="057C2C99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7、支座变位监测</w:t>
            </w:r>
          </w:p>
          <w:p w14:paraId="7232D0B6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选取</w:t>
            </w:r>
            <w:r>
              <w:rPr>
                <w:rFonts w:hint="eastAsia"/>
                <w:highlight w:val="none"/>
                <w:lang w:val="en-US" w:eastAsia="zh-CN"/>
              </w:rPr>
              <w:t>典型</w:t>
            </w:r>
            <w:r>
              <w:rPr>
                <w:rFonts w:hint="eastAsia"/>
                <w:highlight w:val="none"/>
              </w:rPr>
              <w:t>监测数据进行分析。监测结果表明</w:t>
            </w:r>
            <w:r>
              <w:rPr>
                <w:rFonts w:hint="eastAsia"/>
                <w:highlight w:val="none"/>
                <w:lang w:val="en-US" w:eastAsia="zh-CN"/>
              </w:rPr>
              <w:t>，各测点支座位移在mm~mm之间，未出现超过各级超限阈值和报警的情况</w:t>
            </w:r>
            <w:r>
              <w:rPr>
                <w:rFonts w:hint="eastAsia"/>
                <w:highlight w:val="none"/>
              </w:rPr>
              <w:t>。</w:t>
            </w:r>
          </w:p>
          <w:p w14:paraId="416990DE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8、吊索索力监测</w:t>
            </w:r>
          </w:p>
          <w:p w14:paraId="6D350111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312" w:lineRule="auto"/>
              <w:ind w:left="0" w:right="0" w:firstLine="480"/>
              <w:textAlignment w:val="baseline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选取</w:t>
            </w:r>
            <w:r>
              <w:rPr>
                <w:rFonts w:hint="eastAsia"/>
                <w:highlight w:val="none"/>
                <w:lang w:val="en-US" w:eastAsia="zh-CN"/>
              </w:rPr>
              <w:t>典型</w:t>
            </w:r>
            <w:r>
              <w:rPr>
                <w:rFonts w:hint="eastAsia"/>
                <w:highlight w:val="none"/>
              </w:rPr>
              <w:t>监测数据进行分析。监测结果表明吊索加速度各测点绝对最大值为m/s</w:t>
            </w:r>
            <w:r>
              <w:rPr>
                <w:rFonts w:hint="eastAsia"/>
                <w:highlight w:val="none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highlight w:val="none"/>
              </w:rPr>
              <w:t>，各测点10min加速度均方根值最大为mm/s</w:t>
            </w:r>
            <w:r>
              <w:rPr>
                <w:rFonts w:hint="eastAsia"/>
                <w:highlight w:val="none"/>
                <w:vertAlign w:val="superscript"/>
              </w:rPr>
              <w:t>2</w:t>
            </w:r>
            <w:r>
              <w:rPr>
                <w:rFonts w:hint="eastAsia"/>
                <w:highlight w:val="none"/>
              </w:rPr>
              <w:t>，未超过100cm/s</w:t>
            </w:r>
            <w:r>
              <w:rPr>
                <w:rFonts w:hint="eastAsia"/>
                <w:highlight w:val="none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highlight w:val="none"/>
              </w:rPr>
              <w:t>，均处于超限阈值范围之内，未出现超过各级超限阈值和报警的情况。</w:t>
            </w:r>
            <w:r>
              <w:rPr>
                <w:rFonts w:hint="eastAsia"/>
                <w:highlight w:val="none"/>
                <w:lang w:val="en-US" w:eastAsia="zh-CN"/>
              </w:rPr>
              <w:t>与成桥索力相比，索力变化范围在%~%之间，与成桥索力相比变化范围在10%以内</w:t>
            </w:r>
            <w:r>
              <w:rPr>
                <w:rFonts w:hint="eastAsia"/>
                <w:highlight w:val="none"/>
              </w:rPr>
              <w:t>，均处于超限阈值范围之内，未出现超过各级超限阈值和报警的情况。</w:t>
            </w:r>
          </w:p>
          <w:p w14:paraId="36FFA7D5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9、风向风速监测</w:t>
            </w:r>
          </w:p>
          <w:p w14:paraId="7001153D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312" w:lineRule="auto"/>
              <w:ind w:left="0" w:right="0" w:firstLine="480"/>
              <w:textAlignment w:val="baseline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监测结果表明，桥面10min平均风速最大值为m/s，未超过25m/s，处于超限阈值范围之内，未出现超过各级超限阈值和报警的情况。</w:t>
            </w:r>
          </w:p>
          <w:p w14:paraId="19986CE1">
            <w:pPr>
              <w:pStyle w:val="60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leftChars="0" w:right="0" w:rightChars="0" w:firstLine="480" w:firstLineChars="200"/>
              <w:jc w:val="both"/>
              <w:textAlignment w:val="auto"/>
              <w:outlineLvl w:val="9"/>
              <w:rPr>
                <w:rFonts w:hint="eastAsia"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10、地震动监测</w:t>
            </w:r>
          </w:p>
          <w:p w14:paraId="151FC574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312" w:lineRule="auto"/>
              <w:ind w:left="0" w:right="0" w:firstLine="480"/>
              <w:textAlignment w:val="baseline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监测结果表明，水平地震动作用加速度峰值为m/s，未达到设计E1地震作用加速度峰值，竖向地震动作用加速度峰值为为m/s，未达到设计E1地震作用加速度峰值，未出现超过各级超限阈值和报警的情况。</w:t>
            </w:r>
          </w:p>
        </w:tc>
      </w:tr>
      <w:tr w14:paraId="6EF759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1518" w:type="dxa"/>
            <w:noWrap w:val="0"/>
            <w:vAlign w:val="center"/>
          </w:tcPr>
          <w:p w14:paraId="0412F9D2">
            <w:pPr>
              <w:keepNext w:val="0"/>
              <w:keepLines w:val="0"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黑体" w:cs="Times New Roman"/>
                <w:color w:val="FF0000"/>
                <w:szCs w:val="21"/>
                <w:highlight w:val="none"/>
              </w:rPr>
            </w:pPr>
            <w:r>
              <w:rPr>
                <w:rFonts w:hint="eastAsia" w:eastAsia="黑体" w:cs="Times New Roman"/>
                <w:highlight w:val="none"/>
                <w:lang w:eastAsia="zh-CN"/>
              </w:rPr>
              <w:t>建</w:t>
            </w:r>
            <w:r>
              <w:rPr>
                <w:rFonts w:hint="eastAsia" w:eastAsia="黑体" w:cs="Times New Roman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eastAsia="黑体" w:cs="Times New Roman"/>
                <w:highlight w:val="none"/>
                <w:lang w:eastAsia="zh-CN"/>
              </w:rPr>
              <w:t>议</w:t>
            </w:r>
          </w:p>
        </w:tc>
        <w:tc>
          <w:tcPr>
            <w:tcW w:w="7667" w:type="dxa"/>
            <w:noWrap w:val="0"/>
            <w:vAlign w:val="top"/>
          </w:tcPr>
          <w:p w14:paraId="120111EF">
            <w:pPr>
              <w:pStyle w:val="6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针对目前的监测状况，建议如下：</w:t>
            </w:r>
          </w:p>
          <w:p w14:paraId="217CC2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00" w:lineRule="atLeast"/>
              <w:ind w:left="0" w:right="0" w:firstLine="480" w:firstLineChars="20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洪塘大桥超重车辆较多，管养单位应采取有效的限载措施，对过往超载车辆进行必要管控。</w:t>
            </w:r>
          </w:p>
          <w:p w14:paraId="6B352AB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00" w:lineRule="atLeast"/>
              <w:ind w:left="0" w:right="0" w:firstLine="480" w:firstLineChars="20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（本栏以下空白）</w:t>
            </w:r>
          </w:p>
        </w:tc>
      </w:tr>
    </w:tbl>
    <w:p w14:paraId="006AEC8D">
      <w:pPr>
        <w:pStyle w:val="2"/>
        <w:rPr>
          <w:rFonts w:hint="default"/>
          <w:highlight w:val="none"/>
        </w:rPr>
      </w:pPr>
    </w:p>
    <w:p w14:paraId="49FC3BC8">
      <w:pPr>
        <w:jc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br w:type="page"/>
      </w:r>
    </w:p>
    <w:p w14:paraId="086A8086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0FE58A9D">
      <w:pPr>
        <w:jc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(附 页)</w:t>
      </w:r>
    </w:p>
    <w:p w14:paraId="4575871A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2161F61C">
      <w:pPr>
        <w:pStyle w:val="56"/>
        <w:numPr>
          <w:ilvl w:val="0"/>
          <w:numId w:val="0"/>
        </w:numPr>
        <w:tabs>
          <w:tab w:val="clear" w:pos="3462"/>
        </w:tabs>
        <w:spacing w:before="157" w:afterLines="0" w:line="360" w:lineRule="auto"/>
        <w:ind w:left="4320" w:hanging="3456" w:hangingChars="1440"/>
        <w:jc w:val="center"/>
        <w:outlineLvl w:val="9"/>
        <w:rPr>
          <w:rFonts w:hint="default" w:ascii="Times New Roman" w:hAnsi="Times New Roman" w:eastAsia="楷体_GB2312" w:cs="Times New Roman"/>
          <w:b/>
          <w:bCs/>
          <w:kern w:val="0"/>
          <w:sz w:val="24"/>
          <w:szCs w:val="24"/>
          <w:highlight w:val="none"/>
          <w:lang w:val="en-US" w:eastAsia="zh-CN" w:bidi="ar-SA"/>
        </w:rPr>
      </w:pPr>
      <w:bookmarkStart w:id="1" w:name="_Toc256000000"/>
      <w:bookmarkStart w:id="2" w:name="_Toc3574"/>
      <w:bookmarkStart w:id="3" w:name="_Toc12924"/>
      <w:bookmarkStart w:id="4" w:name="_Toc358"/>
      <w:bookmarkStart w:id="5" w:name="_Toc25470"/>
      <w:bookmarkStart w:id="6" w:name="_Toc7166"/>
      <w:r>
        <w:rPr>
          <w:rStyle w:val="38"/>
          <w:rFonts w:hint="default"/>
          <w:b/>
          <w:bCs/>
          <w:sz w:val="24"/>
          <w:szCs w:val="22"/>
          <w:highlight w:val="none"/>
        </w:rPr>
        <w:t>目  录</w:t>
      </w:r>
      <w:bookmarkEnd w:id="1"/>
      <w:bookmarkEnd w:id="2"/>
      <w:bookmarkEnd w:id="3"/>
      <w:bookmarkEnd w:id="4"/>
      <w:bookmarkEnd w:id="5"/>
      <w:bookmarkEnd w:id="6"/>
      <w:r>
        <w:rPr>
          <w:rFonts w:hint="default" w:ascii="Times New Roman" w:hAnsi="Times New Roman" w:cs="Times New Roman"/>
          <w:sz w:val="30"/>
          <w:szCs w:val="30"/>
          <w:highlight w:val="none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  <w:highlight w:val="none"/>
        </w:rPr>
        <w:instrText xml:space="preserve"> TOC \o \h \z \u </w:instrText>
      </w:r>
      <w:r>
        <w:rPr>
          <w:rFonts w:hint="default" w:ascii="Times New Roman" w:hAnsi="Times New Roman" w:cs="Times New Roman"/>
          <w:sz w:val="30"/>
          <w:szCs w:val="30"/>
          <w:highlight w:val="none"/>
        </w:rPr>
        <w:fldChar w:fldCharType="separate"/>
      </w:r>
    </w:p>
    <w:p w14:paraId="57CB1FF2">
      <w:pPr>
        <w:pStyle w:val="25"/>
        <w:tabs>
          <w:tab w:val="right" w:leader="dot" w:pos="9241"/>
          <w:tab w:val="clear" w:pos="420"/>
          <w:tab w:val="clear" w:pos="105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_Toc7652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kern w:val="0"/>
          <w:szCs w:val="24"/>
        </w:rPr>
        <w:t xml:space="preserve">第1章 </w:t>
      </w:r>
      <w:r>
        <w:rPr>
          <w:rFonts w:hint="eastAsia" w:ascii="Times New Roman" w:hAnsi="Times New Roman" w:cs="Times New Roman"/>
          <w:kern w:val="0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cs="Times New Roman"/>
          <w:kern w:val="0"/>
          <w:szCs w:val="24"/>
          <w:highlight w:val="none"/>
        </w:rPr>
        <w:t>概况</w:t>
      </w:r>
      <w:r>
        <w:tab/>
      </w:r>
      <w:r>
        <w:fldChar w:fldCharType="begin"/>
      </w:r>
      <w:r>
        <w:instrText xml:space="preserve"> PAGEREF _Toc7652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1319F418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_Toc24065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1.1 </w:t>
      </w:r>
      <w:r>
        <w:rPr>
          <w:rFonts w:hint="default" w:ascii="Times New Roman" w:hAnsi="Times New Roman" w:cs="Times New Roman"/>
          <w:szCs w:val="24"/>
          <w:highlight w:val="none"/>
          <w:lang w:eastAsia="zh-CN"/>
        </w:rPr>
        <w:t>工程概况</w:t>
      </w:r>
      <w:r>
        <w:tab/>
      </w:r>
      <w:r>
        <w:fldChar w:fldCharType="begin"/>
      </w:r>
      <w:r>
        <w:instrText xml:space="preserve"> PAGEREF _Toc24065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1DAD7333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_Toc13520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1.2 </w:t>
      </w:r>
      <w:r>
        <w:rPr>
          <w:rFonts w:hint="eastAsia" w:cs="Times New Roman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eastAsia="楷体_GB2312" w:cs="Times New Roman"/>
          <w:szCs w:val="24"/>
          <w:highlight w:val="none"/>
        </w:rPr>
        <w:t>内容</w:t>
      </w:r>
      <w:r>
        <w:tab/>
      </w:r>
      <w:r>
        <w:fldChar w:fldCharType="begin"/>
      </w:r>
      <w:r>
        <w:instrText xml:space="preserve"> PAGEREF _Toc13520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63DA0A45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_Toc14814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1.3 </w:t>
      </w:r>
      <w:r>
        <w:rPr>
          <w:rFonts w:hint="eastAsia" w:cs="Times New Roman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eastAsia="楷体_GB2312" w:cs="Times New Roman"/>
          <w:szCs w:val="24"/>
          <w:highlight w:val="none"/>
        </w:rPr>
        <w:t>目的</w:t>
      </w:r>
      <w:r>
        <w:tab/>
      </w:r>
      <w:r>
        <w:fldChar w:fldCharType="begin"/>
      </w:r>
      <w:r>
        <w:instrText xml:space="preserve"> PAGEREF _Toc14814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6F2DC5AF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_Toc24948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1.4 </w:t>
      </w:r>
      <w:r>
        <w:rPr>
          <w:rFonts w:hint="eastAsia" w:cs="Times New Roman"/>
          <w:szCs w:val="24"/>
          <w:highlight w:val="none"/>
          <w:lang w:val="en-US" w:eastAsia="zh-CN"/>
        </w:rPr>
        <w:t>健康监测系统运行状况</w:t>
      </w:r>
      <w:r>
        <w:tab/>
      </w:r>
      <w:r>
        <w:fldChar w:fldCharType="begin"/>
      </w:r>
      <w:r>
        <w:instrText xml:space="preserve"> PAGEREF _Toc24948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17F3C6F">
      <w:pPr>
        <w:pStyle w:val="25"/>
        <w:tabs>
          <w:tab w:val="right" w:leader="dot" w:pos="9241"/>
          <w:tab w:val="clear" w:pos="420"/>
          <w:tab w:val="clear" w:pos="105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_Toc3301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kern w:val="0"/>
          <w:szCs w:val="24"/>
        </w:rPr>
        <w:t xml:space="preserve">第2章 </w:t>
      </w:r>
      <w:r>
        <w:rPr>
          <w:rFonts w:hint="eastAsia" w:cs="Times New Roman"/>
          <w:kern w:val="0"/>
          <w:szCs w:val="24"/>
          <w:highlight w:val="none"/>
          <w:lang w:eastAsia="zh-CN"/>
        </w:rPr>
        <w:t>监测项目及内容</w:t>
      </w:r>
      <w:r>
        <w:tab/>
      </w:r>
      <w:r>
        <w:fldChar w:fldCharType="begin"/>
      </w:r>
      <w:r>
        <w:instrText xml:space="preserve"> PAGEREF _Toc3301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543E95A8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_Toc4264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2.1 </w:t>
      </w:r>
      <w:r>
        <w:rPr>
          <w:rFonts w:hint="default" w:ascii="Times New Roman" w:hAnsi="Times New Roman" w:cs="Times New Roman"/>
          <w:highlight w:val="none"/>
        </w:rPr>
        <w:t>主梁</w:t>
      </w:r>
      <w:r>
        <w:rPr>
          <w:rFonts w:hint="eastAsia" w:cs="Times New Roman"/>
          <w:highlight w:val="none"/>
          <w:lang w:eastAsia="zh-CN"/>
        </w:rPr>
        <w:t>线形</w:t>
      </w:r>
      <w:r>
        <w:tab/>
      </w:r>
      <w:r>
        <w:fldChar w:fldCharType="begin"/>
      </w:r>
      <w:r>
        <w:instrText xml:space="preserve"> PAGEREF _Toc4264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8D1334A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_Toc27916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2.2 </w:t>
      </w:r>
      <w:r>
        <w:rPr>
          <w:rFonts w:hint="eastAsia" w:cs="Times New Roman"/>
          <w:highlight w:val="none"/>
          <w:lang w:eastAsia="zh-CN"/>
        </w:rPr>
        <w:t>主缆线形</w:t>
      </w:r>
      <w:r>
        <w:tab/>
      </w:r>
      <w:r>
        <w:fldChar w:fldCharType="begin"/>
      </w:r>
      <w:r>
        <w:instrText xml:space="preserve"> PAGEREF _Toc27916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4175155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_Toc29444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2.3 </w:t>
      </w:r>
      <w:r>
        <w:rPr>
          <w:rFonts w:hint="eastAsia" w:cs="Times New Roman"/>
          <w:highlight w:val="none"/>
          <w:lang w:eastAsia="zh-CN"/>
        </w:rPr>
        <w:t>主塔变形</w:t>
      </w:r>
      <w:r>
        <w:tab/>
      </w:r>
      <w:r>
        <w:fldChar w:fldCharType="begin"/>
      </w:r>
      <w:r>
        <w:instrText xml:space="preserve"> PAGEREF _Toc29444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0CB19F55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_Toc22817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2.4 </w:t>
      </w:r>
      <w:r>
        <w:rPr>
          <w:rFonts w:hint="eastAsia" w:cs="Times New Roman"/>
          <w:szCs w:val="24"/>
          <w:highlight w:val="none"/>
          <w:lang w:val="en-US" w:eastAsia="zh-CN"/>
        </w:rPr>
        <w:t>交通状况监测</w:t>
      </w:r>
      <w:r>
        <w:tab/>
      </w:r>
      <w:r>
        <w:fldChar w:fldCharType="begin"/>
      </w:r>
      <w:r>
        <w:instrText xml:space="preserve"> PAGEREF _Toc22817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033086F0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_Toc8810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2.5 </w:t>
      </w:r>
      <w:r>
        <w:rPr>
          <w:rFonts w:hint="eastAsia" w:cs="Times New Roman"/>
          <w:szCs w:val="24"/>
          <w:highlight w:val="none"/>
          <w:lang w:val="en-US" w:eastAsia="zh-CN"/>
        </w:rPr>
        <w:t>结构应变监测</w:t>
      </w:r>
      <w:r>
        <w:tab/>
      </w:r>
      <w:r>
        <w:fldChar w:fldCharType="begin"/>
      </w:r>
      <w:r>
        <w:instrText xml:space="preserve"> PAGEREF _Toc8810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0F47EBAE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_Toc26781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2.6 </w:t>
      </w:r>
      <w:r>
        <w:rPr>
          <w:rFonts w:hint="eastAsia" w:ascii="宋体" w:hAnsi="宋体"/>
          <w:szCs w:val="28"/>
          <w:highlight w:val="none"/>
          <w:lang w:val="en-US" w:eastAsia="zh-CN"/>
        </w:rPr>
        <w:t>主塔倾斜</w:t>
      </w:r>
      <w:r>
        <w:rPr>
          <w:rFonts w:hint="eastAsia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_Toc26781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4A75FFAB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_Toc12553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2.7 </w:t>
      </w:r>
      <w:r>
        <w:rPr>
          <w:rFonts w:hint="eastAsia" w:ascii="宋体" w:hAnsi="宋体"/>
          <w:szCs w:val="28"/>
          <w:highlight w:val="none"/>
          <w:lang w:val="en-US" w:eastAsia="zh-CN"/>
        </w:rPr>
        <w:t>支座变位监测</w:t>
      </w:r>
      <w:r>
        <w:tab/>
      </w:r>
      <w:r>
        <w:fldChar w:fldCharType="begin"/>
      </w:r>
      <w:r>
        <w:instrText xml:space="preserve"> PAGEREF _Toc12553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1DD709A9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_Toc17193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2.8 </w:t>
      </w:r>
      <w:r>
        <w:rPr>
          <w:rFonts w:hint="eastAsia" w:ascii="宋体" w:hAnsi="宋体"/>
          <w:szCs w:val="28"/>
          <w:highlight w:val="none"/>
          <w:lang w:val="en-US" w:eastAsia="zh-CN"/>
        </w:rPr>
        <w:t>吊索索力监测</w:t>
      </w:r>
      <w:r>
        <w:tab/>
      </w:r>
      <w:r>
        <w:fldChar w:fldCharType="begin"/>
      </w:r>
      <w:r>
        <w:instrText xml:space="preserve"> PAGEREF _Toc17193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4FDA871E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_Toc21841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2.9 </w:t>
      </w:r>
      <w:r>
        <w:rPr>
          <w:rFonts w:hint="eastAsia" w:ascii="宋体" w:hAnsi="宋体"/>
          <w:szCs w:val="28"/>
          <w:highlight w:val="none"/>
          <w:lang w:val="en-US" w:eastAsia="zh-CN"/>
        </w:rPr>
        <w:t>主梁、主塔振动监测</w:t>
      </w:r>
      <w:r>
        <w:tab/>
      </w:r>
      <w:r>
        <w:fldChar w:fldCharType="begin"/>
      </w:r>
      <w:r>
        <w:instrText xml:space="preserve"> PAGEREF _Toc21841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E36C738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_Toc25906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2.10 </w:t>
      </w:r>
      <w:r>
        <w:rPr>
          <w:rFonts w:hint="eastAsia" w:ascii="宋体" w:hAnsi="宋体"/>
          <w:szCs w:val="28"/>
          <w:highlight w:val="none"/>
          <w:lang w:val="en-US" w:eastAsia="zh-CN"/>
        </w:rPr>
        <w:t>风向风速监测</w:t>
      </w:r>
      <w:r>
        <w:tab/>
      </w:r>
      <w:r>
        <w:fldChar w:fldCharType="begin"/>
      </w:r>
      <w:r>
        <w:instrText xml:space="preserve"> PAGEREF _Toc25906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FFBDD5D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_Toc17072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2.11 </w:t>
      </w:r>
      <w:r>
        <w:rPr>
          <w:rFonts w:hint="eastAsia" w:ascii="宋体" w:hAnsi="宋体"/>
          <w:szCs w:val="28"/>
          <w:highlight w:val="none"/>
          <w:lang w:val="en-US" w:eastAsia="zh-CN"/>
        </w:rPr>
        <w:t>地震动监测</w:t>
      </w:r>
      <w:r>
        <w:tab/>
      </w:r>
      <w:r>
        <w:fldChar w:fldCharType="begin"/>
      </w:r>
      <w:r>
        <w:instrText xml:space="preserve"> PAGEREF _Toc17072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CCB49C5">
      <w:pPr>
        <w:pStyle w:val="25"/>
        <w:tabs>
          <w:tab w:val="right" w:leader="dot" w:pos="9241"/>
          <w:tab w:val="clear" w:pos="420"/>
          <w:tab w:val="clear" w:pos="105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_Toc8772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kern w:val="0"/>
          <w:szCs w:val="24"/>
        </w:rPr>
        <w:t xml:space="preserve">第3章 </w:t>
      </w:r>
      <w:r>
        <w:rPr>
          <w:rFonts w:hint="eastAsia" w:cs="Times New Roman"/>
          <w:kern w:val="0"/>
          <w:szCs w:val="24"/>
          <w:highlight w:val="none"/>
          <w:lang w:eastAsia="zh-CN"/>
        </w:rPr>
        <w:t>报警阈值设置</w:t>
      </w:r>
      <w:r>
        <w:tab/>
      </w:r>
      <w:r>
        <w:fldChar w:fldCharType="begin"/>
      </w:r>
      <w:r>
        <w:instrText xml:space="preserve"> PAGEREF _Toc8772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4DBC1D77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_Toc32017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3.1 </w:t>
      </w:r>
      <w:r>
        <w:rPr>
          <w:rFonts w:hint="eastAsia" w:cs="Times New Roman"/>
          <w:szCs w:val="24"/>
          <w:highlight w:val="none"/>
          <w:lang w:eastAsia="zh-CN"/>
        </w:rPr>
        <w:t>报警阈值设置</w:t>
      </w:r>
      <w:r>
        <w:tab/>
      </w:r>
      <w:r>
        <w:fldChar w:fldCharType="begin"/>
      </w:r>
      <w:r>
        <w:instrText xml:space="preserve"> PAGEREF _Toc32017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0E02E455">
      <w:pPr>
        <w:pStyle w:val="25"/>
        <w:tabs>
          <w:tab w:val="right" w:leader="dot" w:pos="9241"/>
          <w:tab w:val="clear" w:pos="420"/>
          <w:tab w:val="clear" w:pos="105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_Toc6909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kern w:val="0"/>
          <w:szCs w:val="24"/>
        </w:rPr>
        <w:t xml:space="preserve">第4章 </w:t>
      </w:r>
      <w:r>
        <w:rPr>
          <w:rFonts w:hint="eastAsia" w:cs="Times New Roman"/>
          <w:kern w:val="0"/>
          <w:szCs w:val="24"/>
          <w:highlight w:val="none"/>
          <w:lang w:eastAsia="zh-CN"/>
        </w:rPr>
        <w:t>监测结果</w:t>
      </w:r>
      <w:r>
        <w:tab/>
      </w:r>
      <w:r>
        <w:fldChar w:fldCharType="begin"/>
      </w:r>
      <w:r>
        <w:instrText xml:space="preserve"> PAGEREF _Toc6909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2C67F81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_Toc9585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4.1 </w:t>
      </w:r>
      <w:r>
        <w:rPr>
          <w:rFonts w:hint="eastAsia" w:cs="Times New Roman"/>
          <w:szCs w:val="24"/>
          <w:highlight w:val="none"/>
          <w:lang w:eastAsia="zh-CN"/>
        </w:rPr>
        <w:t>主梁线形</w:t>
      </w:r>
      <w:r>
        <w:tab/>
      </w:r>
      <w:r>
        <w:fldChar w:fldCharType="begin"/>
      </w:r>
      <w:r>
        <w:instrText xml:space="preserve"> PAGEREF _Toc9585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8A9AE80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_Toc19416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4.2 </w:t>
      </w:r>
      <w:r>
        <w:rPr>
          <w:rFonts w:hint="eastAsia" w:cs="Times New Roman"/>
          <w:szCs w:val="24"/>
          <w:highlight w:val="none"/>
          <w:lang w:eastAsia="zh-CN"/>
        </w:rPr>
        <w:t>主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缆线</w:t>
      </w:r>
      <w:r>
        <w:rPr>
          <w:rFonts w:hint="eastAsia" w:cs="Times New Roman"/>
          <w:szCs w:val="24"/>
          <w:highlight w:val="none"/>
          <w:lang w:eastAsia="zh-CN"/>
        </w:rPr>
        <w:t>形</w:t>
      </w:r>
      <w:r>
        <w:tab/>
      </w:r>
      <w:r>
        <w:fldChar w:fldCharType="begin"/>
      </w:r>
      <w:r>
        <w:instrText xml:space="preserve"> PAGEREF _Toc19416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081FB5B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_Toc28684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4.3 </w:t>
      </w:r>
      <w:r>
        <w:rPr>
          <w:rFonts w:hint="eastAsia" w:cs="Times New Roman"/>
          <w:szCs w:val="24"/>
          <w:highlight w:val="none"/>
          <w:lang w:eastAsia="zh-CN"/>
        </w:rPr>
        <w:t>主塔变形</w:t>
      </w:r>
      <w:r>
        <w:tab/>
      </w:r>
      <w:r>
        <w:fldChar w:fldCharType="begin"/>
      </w:r>
      <w:r>
        <w:instrText xml:space="preserve"> PAGEREF _Toc28684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4BDE23A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_Toc17190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4.4 </w:t>
      </w:r>
      <w:r>
        <w:rPr>
          <w:rFonts w:hint="eastAsia" w:cs="Times New Roman"/>
          <w:szCs w:val="24"/>
          <w:highlight w:val="none"/>
          <w:lang w:val="en-US" w:eastAsia="zh-CN"/>
        </w:rPr>
        <w:t>交通状况监测</w:t>
      </w:r>
      <w:r>
        <w:tab/>
      </w:r>
      <w:r>
        <w:fldChar w:fldCharType="begin"/>
      </w:r>
      <w:r>
        <w:instrText xml:space="preserve"> PAGEREF _Toc17190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6545D6D0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_Toc14567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eastAsia="楷体_GB2312" w:cs="Times New Roman"/>
          <w:szCs w:val="24"/>
        </w:rPr>
        <w:t xml:space="preserve">4.5 </w:t>
      </w:r>
      <w:r>
        <w:rPr>
          <w:rFonts w:hint="eastAsia" w:cs="Times New Roman"/>
          <w:szCs w:val="24"/>
          <w:highlight w:val="none"/>
          <w:lang w:val="en-US" w:eastAsia="zh-CN"/>
        </w:rPr>
        <w:t>结构应变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_Toc14567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1FDCD01C">
      <w:pPr>
        <w:pStyle w:val="19"/>
        <w:tabs>
          <w:tab w:val="right" w:leader="dot" w:pos="924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_Toc16360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eastAsia="楷体_GB2312"/>
        </w:rPr>
        <w:t xml:space="preserve">4.5.1 </w:t>
      </w:r>
      <w:r>
        <w:rPr>
          <w:rFonts w:hint="eastAsia"/>
          <w:highlight w:val="none"/>
          <w:lang w:val="en-US" w:eastAsia="zh-CN"/>
        </w:rPr>
        <w:t>主梁应变</w:t>
      </w:r>
      <w:r>
        <w:tab/>
      </w:r>
      <w:r>
        <w:fldChar w:fldCharType="begin"/>
      </w:r>
      <w:r>
        <w:instrText xml:space="preserve"> PAGEREF _Toc16360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645E795B">
      <w:pPr>
        <w:pStyle w:val="19"/>
        <w:tabs>
          <w:tab w:val="right" w:leader="dot" w:pos="924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_Toc4552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eastAsia="楷体_GB2312"/>
        </w:rPr>
        <w:t xml:space="preserve">4.5.2 </w:t>
      </w:r>
      <w:r>
        <w:rPr>
          <w:rFonts w:hint="eastAsia"/>
          <w:highlight w:val="none"/>
        </w:rPr>
        <w:t>桥塔应变</w:t>
      </w:r>
      <w:r>
        <w:tab/>
      </w:r>
      <w:r>
        <w:fldChar w:fldCharType="begin"/>
      </w:r>
      <w:r>
        <w:instrText xml:space="preserve"> PAGEREF _Toc4552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45E9149C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_Toc18541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4.6 </w:t>
      </w:r>
      <w:r>
        <w:rPr>
          <w:rFonts w:hint="eastAsia" w:ascii="宋体" w:hAnsi="宋体"/>
          <w:szCs w:val="28"/>
          <w:highlight w:val="none"/>
          <w:lang w:val="en-US" w:eastAsia="zh-CN"/>
        </w:rPr>
        <w:t>主塔倾斜</w:t>
      </w:r>
      <w:r>
        <w:rPr>
          <w:rFonts w:hint="eastAsia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_Toc18541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F9EB1E1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_Toc15583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4.7 </w:t>
      </w:r>
      <w:r>
        <w:rPr>
          <w:rFonts w:hint="eastAsia" w:ascii="宋体" w:hAnsi="宋体"/>
          <w:szCs w:val="28"/>
          <w:highlight w:val="none"/>
          <w:lang w:val="en-US" w:eastAsia="zh-CN"/>
        </w:rPr>
        <w:t>支座变位</w:t>
      </w:r>
      <w:r>
        <w:rPr>
          <w:rFonts w:hint="eastAsia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_Toc15583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1309EE66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_Toc32475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4.8 </w:t>
      </w:r>
      <w:r>
        <w:rPr>
          <w:rFonts w:hint="eastAsia" w:ascii="宋体" w:hAnsi="宋体"/>
          <w:szCs w:val="28"/>
          <w:highlight w:val="none"/>
          <w:lang w:val="en-US" w:eastAsia="zh-CN"/>
        </w:rPr>
        <w:t>吊索索力</w:t>
      </w:r>
      <w:r>
        <w:rPr>
          <w:rFonts w:hint="eastAsia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_Toc32475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0B545BE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_Toc24993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4.9 </w:t>
      </w:r>
      <w:r>
        <w:rPr>
          <w:rFonts w:hint="eastAsia" w:ascii="宋体" w:hAnsi="宋体"/>
          <w:szCs w:val="28"/>
          <w:highlight w:val="none"/>
          <w:lang w:val="en-US" w:eastAsia="zh-CN"/>
        </w:rPr>
        <w:t>主梁、主塔振动</w:t>
      </w:r>
      <w:r>
        <w:rPr>
          <w:rFonts w:hint="eastAsia" w:cs="Times New Roman"/>
          <w:szCs w:val="24"/>
          <w:highlight w:val="none"/>
          <w:lang w:val="en-US" w:eastAsia="zh-CN"/>
        </w:rPr>
        <w:t>监测</w:t>
      </w:r>
      <w:r>
        <w:tab/>
      </w:r>
      <w:r>
        <w:fldChar w:fldCharType="begin"/>
      </w:r>
      <w:r>
        <w:instrText xml:space="preserve"> PAGEREF _Toc24993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01B81E6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_Toc27408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4.10 </w:t>
      </w:r>
      <w:r>
        <w:rPr>
          <w:rFonts w:hint="eastAsia" w:ascii="宋体" w:hAnsi="宋体"/>
          <w:szCs w:val="28"/>
          <w:highlight w:val="none"/>
          <w:lang w:val="en-US" w:eastAsia="zh-CN"/>
        </w:rPr>
        <w:t>风向风速监测</w:t>
      </w:r>
      <w:r>
        <w:tab/>
      </w:r>
      <w:r>
        <w:fldChar w:fldCharType="begin"/>
      </w:r>
      <w:r>
        <w:instrText xml:space="preserve"> PAGEREF _Toc27408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034C121A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_Toc30127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/>
        </w:rPr>
        <w:t xml:space="preserve">4.11 </w:t>
      </w:r>
      <w:r>
        <w:rPr>
          <w:rFonts w:hint="eastAsia" w:ascii="宋体" w:hAnsi="宋体"/>
          <w:szCs w:val="28"/>
          <w:highlight w:val="none"/>
          <w:lang w:val="en-US" w:eastAsia="zh-CN"/>
        </w:rPr>
        <w:t>地震动监测</w:t>
      </w:r>
      <w:r>
        <w:tab/>
      </w:r>
      <w:r>
        <w:fldChar w:fldCharType="begin"/>
      </w:r>
      <w:r>
        <w:instrText xml:space="preserve"> PAGEREF _Toc30127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77A83F0F">
      <w:pPr>
        <w:pStyle w:val="25"/>
        <w:tabs>
          <w:tab w:val="right" w:leader="dot" w:pos="9241"/>
          <w:tab w:val="clear" w:pos="420"/>
          <w:tab w:val="clear" w:pos="105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_Toc27775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eastAsia="楷体_GB2312" w:cs="Times New Roman"/>
          <w:bCs w:val="0"/>
          <w:kern w:val="44"/>
          <w:szCs w:val="24"/>
          <w:highlight w:val="none"/>
        </w:rPr>
        <w:t>附录</w:t>
      </w:r>
      <w:r>
        <w:rPr>
          <w:rFonts w:hint="default" w:ascii="Times New Roman" w:hAnsi="Times New Roman" w:eastAsia="楷体_GB2312" w:cs="Times New Roman"/>
          <w:bCs w:val="0"/>
          <w:kern w:val="4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Cs w:val="0"/>
          <w:kern w:val="44"/>
          <w:szCs w:val="24"/>
          <w:highlight w:val="none"/>
        </w:rPr>
        <w:t xml:space="preserve"> 有限元分析及预警值设置</w:t>
      </w:r>
      <w:r>
        <w:tab/>
      </w:r>
      <w:r>
        <w:fldChar w:fldCharType="begin"/>
      </w:r>
      <w:r>
        <w:instrText xml:space="preserve"> PAGEREF _Toc27775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55EF5471">
      <w:pPr>
        <w:pStyle w:val="27"/>
        <w:tabs>
          <w:tab w:val="right" w:leader="dot" w:pos="9241"/>
          <w:tab w:val="clear" w:pos="840"/>
          <w:tab w:val="clear" w:pos="1260"/>
          <w:tab w:val="clear" w:pos="923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_Toc25019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cs="Times New Roman"/>
          <w:bCs w:val="0"/>
          <w:kern w:val="2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Cs w:val="0"/>
          <w:kern w:val="2"/>
          <w:szCs w:val="24"/>
          <w:highlight w:val="none"/>
        </w:rPr>
        <w:t>.1有限元分析结果</w:t>
      </w:r>
      <w:r>
        <w:tab/>
      </w:r>
      <w:r>
        <w:fldChar w:fldCharType="begin"/>
      </w:r>
      <w:r>
        <w:instrText xml:space="preserve"> PAGEREF _Toc25019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2A9A6EFC">
      <w:pPr>
        <w:pStyle w:val="19"/>
        <w:tabs>
          <w:tab w:val="right" w:leader="dot" w:pos="924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_Toc23535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cs="Times New Roman"/>
          <w:bCs w:val="0"/>
          <w:kern w:val="2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Cs w:val="0"/>
          <w:kern w:val="2"/>
          <w:szCs w:val="24"/>
          <w:highlight w:val="none"/>
        </w:rPr>
        <w:t>.1.1 弯矩</w:t>
      </w:r>
      <w:r>
        <w:tab/>
      </w:r>
      <w:r>
        <w:fldChar w:fldCharType="begin"/>
      </w:r>
      <w:r>
        <w:instrText xml:space="preserve"> PAGEREF _Toc23535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FA99417">
      <w:pPr>
        <w:pStyle w:val="19"/>
        <w:tabs>
          <w:tab w:val="right" w:leader="dot" w:pos="9241"/>
        </w:tabs>
      </w:pP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HYPERLINK \l _Toc27337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eastAsia" w:ascii="Times New Roman" w:hAnsi="Times New Roman" w:cs="Times New Roman"/>
          <w:bCs w:val="0"/>
          <w:kern w:val="2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Cs w:val="0"/>
          <w:kern w:val="2"/>
          <w:szCs w:val="24"/>
          <w:highlight w:val="none"/>
        </w:rPr>
        <w:t>.1.2 振动模态</w:t>
      </w:r>
      <w:r>
        <w:tab/>
      </w:r>
      <w:r>
        <w:fldChar w:fldCharType="begin"/>
      </w:r>
      <w:r>
        <w:instrText xml:space="preserve"> PAGEREF _Toc27337 \h </w:instrText>
      </w:r>
      <w:r>
        <w:fldChar w:fldCharType="separate"/>
      </w:r>
      <w:r>
        <w:t>30</w:t>
      </w:r>
      <w:r>
        <w:fldChar w:fldCharType="end"/>
      </w:r>
      <w:r>
        <w:rPr>
          <w:rFonts w:hint="default" w:ascii="Times New Roman" w:hAnsi="Times New Roman" w:cs="Times New Roman"/>
          <w:highlight w:val="none"/>
        </w:rPr>
        <w:fldChar w:fldCharType="end"/>
      </w:r>
    </w:p>
    <w:p w14:paraId="3C0159A0">
      <w:pPr>
        <w:numPr>
          <w:ilvl w:val="0"/>
          <w:numId w:val="0"/>
        </w:numPr>
        <w:tabs>
          <w:tab w:val="left" w:pos="432"/>
          <w:tab w:val="left" w:pos="3462"/>
        </w:tabs>
        <w:spacing w:before="157" w:afterLines="0" w:line="360" w:lineRule="auto"/>
        <w:ind w:left="3458" w:hanging="3458" w:hangingChars="1441"/>
        <w:jc w:val="center"/>
        <w:outlineLvl w:val="9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fldChar w:fldCharType="end"/>
      </w:r>
      <w:bookmarkStart w:id="7" w:name="_Toc383866656"/>
      <w:bookmarkStart w:id="8" w:name="_Toc312074210"/>
      <w:bookmarkStart w:id="9" w:name="_Toc317780789"/>
      <w:bookmarkStart w:id="10" w:name="_Toc317777146"/>
    </w:p>
    <w:p w14:paraId="62B254F4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0"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br w:type="page"/>
      </w:r>
      <w:bookmarkStart w:id="11" w:name="_Toc6260"/>
      <w:bookmarkStart w:id="12" w:name="_Toc256000002"/>
      <w:bookmarkStart w:id="13" w:name="_Toc15120"/>
      <w:r>
        <w:rPr>
          <w:rFonts w:hint="eastAsia" w:ascii="Times New Roman" w:hAnsi="Times New Roman" w:cs="Times New Roman"/>
          <w:highlight w:val="none"/>
          <w:lang w:val="en-US" w:eastAsia="zh-CN"/>
        </w:rPr>
        <w:t xml:space="preserve"> </w:t>
      </w:r>
      <w:bookmarkStart w:id="14" w:name="_Toc343"/>
      <w:bookmarkStart w:id="15" w:name="_Toc7652"/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cs="Times New Roman"/>
          <w:kern w:val="0"/>
          <w:sz w:val="24"/>
          <w:szCs w:val="24"/>
          <w:highlight w:val="none"/>
        </w:rPr>
        <w:t>概况</w:t>
      </w:r>
      <w:bookmarkEnd w:id="11"/>
      <w:bookmarkEnd w:id="12"/>
      <w:bookmarkEnd w:id="13"/>
      <w:bookmarkEnd w:id="14"/>
      <w:bookmarkEnd w:id="15"/>
    </w:p>
    <w:p w14:paraId="5941E261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16" w:name="_Toc4623"/>
      <w:bookmarkStart w:id="17" w:name="_Toc8937"/>
      <w:bookmarkStart w:id="18" w:name="_Toc24065"/>
      <w:r>
        <w:rPr>
          <w:rFonts w:hint="default" w:ascii="Times New Roman" w:hAnsi="Times New Roman" w:cs="Times New Roman"/>
          <w:sz w:val="24"/>
          <w:szCs w:val="24"/>
          <w:highlight w:val="none"/>
          <w:lang w:eastAsia="zh-CN"/>
        </w:rPr>
        <w:t>工程概况</w:t>
      </w:r>
      <w:bookmarkEnd w:id="16"/>
      <w:bookmarkEnd w:id="17"/>
      <w:bookmarkEnd w:id="18"/>
    </w:p>
    <w:p w14:paraId="485284CA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福州洪塘大桥拓宽改建工程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为连接福州市主城区与闽侯大学城区域的重要过江通道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大桥东岸位于福州市妙峰山麓，</w:t>
      </w:r>
      <w:r>
        <w:rPr>
          <w:rFonts w:hint="eastAsia"/>
          <w:highlight w:val="none"/>
        </w:rPr>
        <w:t>对既有洪塘立交进行改造连接三环快速后，新建洪塘大桥跨越乌龙江，随后进入闽侯上街，上跨规划滨江路，</w:t>
      </w:r>
      <w:r>
        <w:rPr>
          <w:rFonts w:hint="eastAsia"/>
          <w:highlight w:val="none"/>
          <w:lang w:val="en-US" w:eastAsia="zh-CN"/>
        </w:rPr>
        <w:t>西岸位于闽侯上街镇</w:t>
      </w:r>
      <w:r>
        <w:rPr>
          <w:rFonts w:hint="eastAsia"/>
          <w:highlight w:val="none"/>
        </w:rPr>
        <w:t>，与国宾大道衔接，路线总长2.43公里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包括东引桥、主桥、西引桥三部分。新洪塘大桥2017年动工，历时4年多，于2021年4月29日正式通车。</w:t>
      </w:r>
      <w:r>
        <w:rPr>
          <w:rFonts w:hint="eastAsia"/>
          <w:highlight w:val="none"/>
        </w:rPr>
        <w:t>主要技术标准：</w:t>
      </w:r>
    </w:p>
    <w:p w14:paraId="06B6D3B6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（1）道路等级：主线为主干路</w:t>
      </w:r>
    </w:p>
    <w:p w14:paraId="36DE2AE9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（2）设计速度：主线：V=60km/h</w:t>
      </w:r>
    </w:p>
    <w:p w14:paraId="2BC3422F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（3）荷载标准：</w:t>
      </w:r>
      <w:r>
        <w:rPr>
          <w:rFonts w:hint="eastAsia"/>
          <w:highlight w:val="none"/>
          <w:lang w:val="en-US" w:eastAsia="zh-CN"/>
        </w:rPr>
        <w:t>城-A级，人群荷载按《城市桥梁设计规范》（CJJ 11-2011）取值</w:t>
      </w:r>
    </w:p>
    <w:p w14:paraId="5FA61FA8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（4）结构安全等级：本工程桥梁结构安全等级为一级</w:t>
      </w:r>
    </w:p>
    <w:p w14:paraId="1C81BFAE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（5）设计基准期：100年</w:t>
      </w:r>
    </w:p>
    <w:p w14:paraId="382DEF9F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</w:rPr>
        <w:t>（6）桥梁设计使用年限：主桥100年</w:t>
      </w:r>
    </w:p>
    <w:p w14:paraId="426E264D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（</w:t>
      </w:r>
      <w:r>
        <w:rPr>
          <w:rFonts w:hint="eastAsia"/>
          <w:highlight w:val="none"/>
          <w:lang w:val="en-US" w:eastAsia="zh-CN"/>
        </w:rPr>
        <w:t>7</w:t>
      </w:r>
      <w:r>
        <w:rPr>
          <w:rFonts w:hint="eastAsia"/>
          <w:highlight w:val="none"/>
        </w:rPr>
        <w:t>）</w:t>
      </w:r>
      <w:r>
        <w:rPr>
          <w:rFonts w:hint="eastAsia"/>
          <w:highlight w:val="none"/>
          <w:lang w:val="en-US" w:eastAsia="zh-CN"/>
        </w:rPr>
        <w:t>设计基本地震加速度为0.10g</w:t>
      </w:r>
    </w:p>
    <w:p w14:paraId="37C04D7A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default"/>
          <w:highlight w:val="none"/>
        </w:rPr>
      </w:pPr>
      <w:r>
        <w:rPr>
          <w:rFonts w:hint="eastAsia"/>
          <w:highlight w:val="none"/>
        </w:rPr>
        <w:t>洪塘大桥主桥采用两跨独塔钢箱梁自锚式悬索桥结构，总体桥跨布置为：50m（钢箱梁锚固跨）+150m（钢箱梁）+150m（钢箱梁）+50m（钢箱梁锚固跨）=400m，采用半漂浮结构体系，在东西岸辅助墩和边墩分别设置纵、横向阻尼器。主桥桥跨布置图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_Ref3244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highlight w:val="none"/>
        </w:rPr>
        <w:t xml:space="preserve">图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highlight w:val="none"/>
        </w:rPr>
        <w:t>1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所示。</w:t>
      </w:r>
    </w:p>
    <w:p w14:paraId="66D02874">
      <w:pPr>
        <w:ind w:left="0" w:leftChars="0" w:firstLine="0" w:firstLineChars="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2405" cy="1778635"/>
            <wp:effectExtent l="0" t="0" r="635" b="4445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F649">
      <w:pPr>
        <w:pStyle w:val="61"/>
        <w:rPr>
          <w:highlight w:val="none"/>
        </w:rPr>
      </w:pPr>
      <w:bookmarkStart w:id="19" w:name="_Ref3244"/>
      <w:r>
        <w:rPr>
          <w:highlight w:val="none"/>
        </w:rPr>
        <w:t xml:space="preserve">图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图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bookmarkEnd w:id="19"/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</w:rPr>
        <w:t>洪塘大桥主桥桥跨布置图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单位：m</w:t>
      </w:r>
      <w:r>
        <w:rPr>
          <w:rFonts w:hint="eastAsia"/>
          <w:highlight w:val="none"/>
          <w:lang w:eastAsia="zh-CN"/>
        </w:rPr>
        <w:t>）</w:t>
      </w:r>
    </w:p>
    <w:p w14:paraId="0AE3329E">
      <w:pPr>
        <w:pStyle w:val="60"/>
        <w:rPr>
          <w:rFonts w:hint="eastAsia"/>
          <w:highlight w:val="none"/>
        </w:rPr>
      </w:pPr>
      <w:r>
        <w:rPr>
          <w:rFonts w:hint="eastAsia"/>
          <w:highlight w:val="none"/>
        </w:rPr>
        <w:t>主跨与平衡跨均采用分离式扁平钢箱梁，钢箱梁为全焊接箱型结构，两钢箱梁间通过工字型横梁采用高强螺栓联结，桥面采用正交异性钢桥面。钢箱梁标准梁高3.5m，锚墩位置局部区域加高至4.9m。加劲梁采用Q345q(D)级钢材。其标准横断面布置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_Ref3727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highlight w:val="none"/>
        </w:rPr>
        <w:t xml:space="preserve">图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highlight w:val="none"/>
        </w:rPr>
        <w:t>2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所示。</w:t>
      </w:r>
    </w:p>
    <w:p w14:paraId="221BBD8C">
      <w:pPr>
        <w:ind w:left="0" w:leftChars="0" w:firstLine="0" w:firstLineChars="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417185" cy="1115695"/>
            <wp:effectExtent l="0" t="0" r="8255" b="12065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83A5">
      <w:pPr>
        <w:pStyle w:val="61"/>
        <w:rPr>
          <w:highlight w:val="none"/>
        </w:rPr>
      </w:pPr>
      <w:bookmarkStart w:id="20" w:name="_Ref3727"/>
      <w:r>
        <w:rPr>
          <w:highlight w:val="none"/>
        </w:rPr>
        <w:t xml:space="preserve">图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图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2</w:t>
      </w:r>
      <w:r>
        <w:rPr>
          <w:highlight w:val="none"/>
        </w:rPr>
        <w:fldChar w:fldCharType="end"/>
      </w:r>
      <w:bookmarkEnd w:id="20"/>
      <w:r>
        <w:rPr>
          <w:rFonts w:hint="eastAsia"/>
          <w:highlight w:val="none"/>
          <w:lang w:val="en-US" w:eastAsia="zh-CN"/>
        </w:rPr>
        <w:t xml:space="preserve"> </w:t>
      </w:r>
      <w:r>
        <w:rPr>
          <w:highlight w:val="none"/>
        </w:rPr>
        <w:t>洪塘大桥标准横断面布置图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  <w:lang w:eastAsia="zh-CN"/>
        </w:rPr>
        <w:t>）</w:t>
      </w:r>
    </w:p>
    <w:p w14:paraId="639D110E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主桥采用H型直立柱门式桥塔，桥塔理论高度74.607m，结构总高71.307m。其中，上塔柱高55m，采用五边形箱型截面，横向宽4.2m，纵向宽5.8m；下塔柱高16.307m，采用六边形箱型截面，横向宽9.0m，纵向宽7.0m。上塔柱顶部设置钢结构上横梁，下塔柱顶板设置钢-混凝土混合式下横梁。主塔布置图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_Ref3893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rFonts w:hint="eastAsia"/>
          <w:highlight w:val="none"/>
        </w:rPr>
        <w:t xml:space="preserve">图 </w:t>
      </w:r>
      <w:r>
        <w:rPr>
          <w:rFonts w:hint="eastAsia"/>
          <w:highlight w:val="none"/>
        </w:rPr>
        <w:fldChar w:fldCharType="begin"/>
      </w:r>
      <w:r>
        <w:rPr>
          <w:rFonts w:hint="eastAsia"/>
          <w:highlight w:val="none"/>
        </w:rPr>
        <w:instrText xml:space="preserve"> STYLEREF 1 \s </w:instrText>
      </w:r>
      <w:r>
        <w:rPr>
          <w:rFonts w:hint="eastAsia"/>
          <w:highlight w:val="none"/>
        </w:rPr>
        <w:fldChar w:fldCharType="separate"/>
      </w:r>
      <w:r>
        <w:rPr>
          <w:rFonts w:hint="eastAsia"/>
          <w:highlight w:val="none"/>
        </w:rPr>
        <w:t>1</w:t>
      </w:r>
      <w:r>
        <w:rPr>
          <w:rFonts w:hint="eastAsia"/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rFonts w:hint="eastAsia"/>
          <w:highlight w:val="none"/>
        </w:rPr>
        <w:t>3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所示。</w:t>
      </w:r>
    </w:p>
    <w:p w14:paraId="1A39A312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主桥共设置12#和14#两组辅助墩，墩高15.382m，墩顶高程均为19.882m。桥墩立柱采用六边形实体结构，长轴为3.5m，短轴为3.0m。辅助墩在横桥向分为2组双柱墩，两柱间距9.1m，顶部设置系梁；两组墩柱中心间距32.3m。</w:t>
      </w:r>
    </w:p>
    <w:p w14:paraId="465AB65F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主桥共设置11#和15#两组边墩，立柱采用六边形实体结构，长轴为3.5m。11#边墩在横桥向分为4个单独的墩柱，两个一组，柱顶设置钢筋混凝土结构系梁，截面为2.5m×1.5m矩形。15#边墩在横桥向</w:t>
      </w:r>
      <w:r>
        <w:rPr>
          <w:rFonts w:hint="eastAsia"/>
          <w:highlight w:val="none"/>
          <w:lang w:eastAsia="zh-CN"/>
        </w:rPr>
        <w:t>分为</w:t>
      </w:r>
      <w:r>
        <w:rPr>
          <w:rFonts w:hint="eastAsia"/>
          <w:highlight w:val="none"/>
        </w:rPr>
        <w:t>4个单独的墩柱，两个一组，柱顶设置预应力钢筋混凝土盖梁以便于与邻跨预制小箱梁衔接。</w:t>
      </w:r>
    </w:p>
    <w:p w14:paraId="7F722017">
      <w:pPr>
        <w:ind w:left="0" w:leftChars="0" w:firstLine="0" w:firstLineChars="0"/>
        <w:jc w:val="center"/>
        <w:rPr>
          <w:highlight w:val="none"/>
        </w:rPr>
      </w:pPr>
      <w:r>
        <w:rPr>
          <w:highlight w:val="none"/>
          <w:vertAlign w:val="baseline"/>
        </w:rPr>
        <w:drawing>
          <wp:inline distT="0" distB="0" distL="114300" distR="114300">
            <wp:extent cx="3486150" cy="4200525"/>
            <wp:effectExtent l="0" t="0" r="3810" b="5715"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F00F">
      <w:pPr>
        <w:pStyle w:val="61"/>
        <w:rPr>
          <w:highlight w:val="none"/>
        </w:rPr>
      </w:pPr>
      <w:bookmarkStart w:id="21" w:name="_Ref3893"/>
      <w:r>
        <w:rPr>
          <w:rFonts w:hint="eastAsia"/>
          <w:highlight w:val="none"/>
        </w:rPr>
        <w:t xml:space="preserve">图 </w:t>
      </w:r>
      <w:r>
        <w:rPr>
          <w:rFonts w:hint="eastAsia"/>
          <w:highlight w:val="none"/>
        </w:rPr>
        <w:fldChar w:fldCharType="begin"/>
      </w:r>
      <w:r>
        <w:rPr>
          <w:rFonts w:hint="eastAsia"/>
          <w:highlight w:val="none"/>
        </w:rPr>
        <w:instrText xml:space="preserve"> STYLEREF 1 \s </w:instrText>
      </w:r>
      <w:r>
        <w:rPr>
          <w:rFonts w:hint="eastAsia"/>
          <w:highlight w:val="none"/>
        </w:rPr>
        <w:fldChar w:fldCharType="separate"/>
      </w:r>
      <w:r>
        <w:rPr>
          <w:rFonts w:hint="eastAsia"/>
          <w:highlight w:val="none"/>
        </w:rPr>
        <w:t>1</w:t>
      </w:r>
      <w:r>
        <w:rPr>
          <w:rFonts w:hint="eastAsia"/>
          <w:highlight w:val="none"/>
        </w:rPr>
        <w:fldChar w:fldCharType="end"/>
      </w:r>
      <w:r>
        <w:rPr>
          <w:rFonts w:hint="eastAsia"/>
          <w:highlight w:val="none"/>
          <w:lang w:eastAsia="zh-CN"/>
        </w:rPr>
        <w:t>-</w:t>
      </w:r>
      <w:r>
        <w:rPr>
          <w:rFonts w:hint="eastAsia"/>
          <w:highlight w:val="none"/>
        </w:rPr>
        <w:fldChar w:fldCharType="begin"/>
      </w:r>
      <w:r>
        <w:rPr>
          <w:rFonts w:hint="eastAsia"/>
          <w:highlight w:val="none"/>
        </w:rPr>
        <w:instrText xml:space="preserve"> SEQ 图 \* ARABIC \s 1 </w:instrText>
      </w:r>
      <w:r>
        <w:rPr>
          <w:rFonts w:hint="eastAsia"/>
          <w:highlight w:val="none"/>
        </w:rPr>
        <w:fldChar w:fldCharType="separate"/>
      </w:r>
      <w:r>
        <w:rPr>
          <w:rFonts w:hint="eastAsia"/>
          <w:highlight w:val="none"/>
        </w:rPr>
        <w:t>3</w:t>
      </w:r>
      <w:r>
        <w:rPr>
          <w:rFonts w:hint="eastAsia"/>
          <w:highlight w:val="none"/>
        </w:rPr>
        <w:fldChar w:fldCharType="end"/>
      </w:r>
      <w:bookmarkEnd w:id="21"/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</w:rPr>
        <w:t>主塔结构布置示意图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  <w:lang w:eastAsia="zh-CN"/>
        </w:rPr>
        <w:t>）</w:t>
      </w:r>
    </w:p>
    <w:p w14:paraId="3DBB147F">
      <w:pPr>
        <w:spacing w:line="400" w:lineRule="exact"/>
        <w:ind w:firstLine="480" w:firstLineChars="20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highlight w:val="none"/>
          <w:lang w:val="en-US" w:eastAsia="zh-CN"/>
        </w:rPr>
        <w:t>全桥共设两根主缆，其结构为预制平行丝股（PWS），每根主缆由37股127丝直径为5.2mm的镀锌高强钢丝组成，公称抗拉强度为1770MPa，其锚固体系采用热铸锚具。主缆为平行竖直布置，主跨跨度为150m，垂跨比为1:10.9，垂度为13.756m；理论散索长度为9.66m。</w:t>
      </w:r>
    </w:p>
    <w:p w14:paraId="0FF5F675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22" w:name="_Toc256000005"/>
      <w:bookmarkStart w:id="23" w:name="_Toc4257"/>
      <w:bookmarkStart w:id="24" w:name="_Toc7827"/>
      <w:bookmarkStart w:id="25" w:name="_Toc27355"/>
      <w:bookmarkStart w:id="26" w:name="_Toc13520"/>
      <w:r>
        <w:rPr>
          <w:rFonts w:hint="eastAsia" w:cs="Times New Roman"/>
          <w:sz w:val="24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  <w:t>内容</w:t>
      </w:r>
      <w:bookmarkEnd w:id="22"/>
      <w:bookmarkEnd w:id="23"/>
      <w:bookmarkEnd w:id="24"/>
      <w:bookmarkEnd w:id="25"/>
      <w:bookmarkEnd w:id="26"/>
    </w:p>
    <w:p w14:paraId="04236EBD">
      <w:pPr>
        <w:pStyle w:val="60"/>
        <w:ind w:firstLine="640"/>
        <w:rPr>
          <w:rFonts w:hint="default" w:ascii="Times New Roman" w:hAnsi="Times New Roman" w:cs="Times New Roman"/>
          <w:highlight w:val="none"/>
        </w:rPr>
      </w:pPr>
      <w:bookmarkStart w:id="27" w:name="_Toc277773900"/>
      <w:r>
        <w:rPr>
          <w:rFonts w:hint="default" w:ascii="Times New Roman" w:hAnsi="Times New Roman" w:cs="Times New Roman"/>
          <w:highlight w:val="none"/>
        </w:rPr>
        <w:t>（1）主梁线形</w:t>
      </w:r>
    </w:p>
    <w:p w14:paraId="38B91A41">
      <w:pPr>
        <w:pStyle w:val="60"/>
        <w:ind w:firstLine="64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（2）主缆线形</w:t>
      </w:r>
    </w:p>
    <w:p w14:paraId="65BD77E6">
      <w:pPr>
        <w:pStyle w:val="60"/>
        <w:ind w:firstLine="64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（3）主塔变形</w:t>
      </w:r>
    </w:p>
    <w:p w14:paraId="19D1A766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4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桥面交通流参数</w:t>
      </w:r>
    </w:p>
    <w:p w14:paraId="3CF4F790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5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结构应变监测</w:t>
      </w:r>
    </w:p>
    <w:p w14:paraId="155B8054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主塔倾斜监测</w:t>
      </w:r>
    </w:p>
    <w:p w14:paraId="2A471C9A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（7）支座变位监测</w:t>
      </w:r>
    </w:p>
    <w:p w14:paraId="5DE6DA7A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吊索索力监测</w:t>
      </w:r>
    </w:p>
    <w:p w14:paraId="2BC71AC8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9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主塔、主梁振动监测</w:t>
      </w:r>
    </w:p>
    <w:p w14:paraId="4101B868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10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风向风速监测</w:t>
      </w:r>
    </w:p>
    <w:p w14:paraId="1FBA9242">
      <w:pPr>
        <w:pStyle w:val="60"/>
        <w:ind w:firstLine="640"/>
        <w:rPr>
          <w:rFonts w:hint="eastAsia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</w:rPr>
        <w:t>（</w:t>
      </w:r>
      <w:r>
        <w:rPr>
          <w:rFonts w:hint="eastAsia" w:cs="Times New Roman"/>
          <w:highlight w:val="none"/>
          <w:lang w:val="en-US" w:eastAsia="zh-CN"/>
        </w:rPr>
        <w:t>11</w:t>
      </w:r>
      <w:r>
        <w:rPr>
          <w:rFonts w:hint="default" w:ascii="Times New Roman" w:hAnsi="Times New Roman" w:cs="Times New Roman"/>
          <w:highlight w:val="none"/>
        </w:rPr>
        <w:t>）</w:t>
      </w:r>
      <w:r>
        <w:rPr>
          <w:rFonts w:hint="eastAsia" w:cs="Times New Roman"/>
          <w:highlight w:val="none"/>
          <w:lang w:val="en-US" w:eastAsia="zh-CN"/>
        </w:rPr>
        <w:t>地震动监测</w:t>
      </w:r>
    </w:p>
    <w:bookmarkEnd w:id="27"/>
    <w:p w14:paraId="5AF7286B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28" w:name="_Toc32219"/>
      <w:bookmarkStart w:id="29" w:name="_Toc21482"/>
      <w:bookmarkStart w:id="30" w:name="_Toc256000006"/>
      <w:bookmarkStart w:id="31" w:name="_Toc32321"/>
      <w:bookmarkStart w:id="32" w:name="_Toc14814"/>
      <w:r>
        <w:rPr>
          <w:rFonts w:hint="eastAsia" w:cs="Times New Roman"/>
          <w:sz w:val="24"/>
          <w:szCs w:val="24"/>
          <w:highlight w:val="none"/>
          <w:lang w:eastAsia="zh-CN"/>
        </w:rPr>
        <w:t>监测</w:t>
      </w:r>
      <w:r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  <w:t>目的</w:t>
      </w:r>
      <w:bookmarkEnd w:id="28"/>
      <w:bookmarkEnd w:id="29"/>
      <w:bookmarkEnd w:id="30"/>
      <w:bookmarkEnd w:id="31"/>
      <w:bookmarkEnd w:id="32"/>
    </w:p>
    <w:p w14:paraId="77C334B5">
      <w:pPr>
        <w:pStyle w:val="60"/>
        <w:rPr>
          <w:rFonts w:hint="default"/>
          <w:highlight w:val="none"/>
        </w:rPr>
      </w:pPr>
      <w:r>
        <w:rPr>
          <w:rFonts w:hint="default"/>
          <w:highlight w:val="none"/>
        </w:rPr>
        <w:t>将现场测量结果及异常情况及时反馈各有关单位，提醒可能存在的危险，以便有关单位研究相应对策、提出进一步处理措施，以保证桥梁运营的安全。</w:t>
      </w:r>
    </w:p>
    <w:p w14:paraId="78389210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33" w:name="_Toc18939"/>
      <w:bookmarkStart w:id="34" w:name="_Toc24948"/>
      <w:r>
        <w:rPr>
          <w:rFonts w:hint="eastAsia" w:cs="Times New Roman"/>
          <w:sz w:val="24"/>
          <w:szCs w:val="24"/>
          <w:highlight w:val="none"/>
          <w:lang w:val="en-US" w:eastAsia="zh-CN"/>
        </w:rPr>
        <w:t>健康监测系统运行状况</w:t>
      </w:r>
      <w:bookmarkEnd w:id="33"/>
      <w:bookmarkEnd w:id="34"/>
    </w:p>
    <w:p w14:paraId="0BED58DE">
      <w:pPr>
        <w:pStyle w:val="60"/>
        <w:rPr>
          <w:rFonts w:hint="default" w:ascii="Times New Roman" w:hAnsi="Times New Roman" w:cs="Times New Roman"/>
          <w:highlight w:val="none"/>
          <w:lang w:val="en-US"/>
        </w:rPr>
      </w:pPr>
      <w:r>
        <w:rPr>
          <w:rFonts w:hint="default"/>
          <w:highlight w:val="none"/>
        </w:rPr>
        <w:t>本月系统运行状况</w:t>
      </w:r>
      <w:r>
        <w:rPr>
          <w:rFonts w:hint="default"/>
          <w:highlight w:val="none"/>
          <w:lang w:val="en-US" w:eastAsia="zh-CN"/>
        </w:rPr>
        <w:t>基本</w:t>
      </w:r>
      <w:r>
        <w:rPr>
          <w:rFonts w:hint="default"/>
          <w:highlight w:val="none"/>
        </w:rPr>
        <w:t>良好</w:t>
      </w:r>
      <w:r>
        <w:rPr>
          <w:rFonts w:hint="default"/>
          <w:highlight w:val="none"/>
          <w:lang w:val="en-US" w:eastAsia="zh-CN"/>
        </w:rPr>
        <w:t>。</w:t>
      </w:r>
    </w:p>
    <w:p w14:paraId="069357FC">
      <w:pPr>
        <w:pStyle w:val="60"/>
        <w:rPr>
          <w:rFonts w:hint="default"/>
          <w:highlight w:val="none"/>
        </w:rPr>
      </w:pPr>
    </w:p>
    <w:p w14:paraId="0EE443AC">
      <w:pPr>
        <w:pStyle w:val="60"/>
        <w:rPr>
          <w:rFonts w:hint="default"/>
          <w:highlight w:val="none"/>
        </w:rPr>
        <w:sectPr>
          <w:headerReference r:id="rId6" w:type="default"/>
          <w:pgSz w:w="11906" w:h="16838"/>
          <w:pgMar w:top="567" w:right="964" w:bottom="964" w:left="1701" w:header="567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AndChars" w:linePitch="312" w:charSpace="0"/>
        </w:sectPr>
      </w:pPr>
    </w:p>
    <w:p w14:paraId="07C1124A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0"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kern w:val="0"/>
          <w:sz w:val="24"/>
          <w:szCs w:val="24"/>
          <w:highlight w:val="none"/>
        </w:rPr>
      </w:pPr>
      <w:bookmarkStart w:id="35" w:name="_Toc6014"/>
      <w:bookmarkStart w:id="36" w:name="_Toc256000011"/>
      <w:bookmarkStart w:id="37" w:name="_Toc12994"/>
      <w:r>
        <w:rPr>
          <w:rFonts w:hint="eastAsia" w:cs="Times New Roman"/>
          <w:kern w:val="0"/>
          <w:sz w:val="24"/>
          <w:szCs w:val="24"/>
          <w:highlight w:val="none"/>
          <w:lang w:val="en-US" w:eastAsia="zh-CN"/>
        </w:rPr>
        <w:t xml:space="preserve"> </w:t>
      </w:r>
      <w:bookmarkStart w:id="38" w:name="_Toc17763"/>
      <w:bookmarkStart w:id="39" w:name="_Toc3301"/>
      <w:r>
        <w:rPr>
          <w:rFonts w:hint="eastAsia" w:cs="Times New Roman"/>
          <w:kern w:val="0"/>
          <w:sz w:val="24"/>
          <w:szCs w:val="24"/>
          <w:highlight w:val="none"/>
          <w:lang w:eastAsia="zh-CN"/>
        </w:rPr>
        <w:t>监测项目及内容</w:t>
      </w:r>
      <w:bookmarkEnd w:id="35"/>
      <w:bookmarkEnd w:id="36"/>
      <w:bookmarkEnd w:id="37"/>
      <w:bookmarkEnd w:id="38"/>
      <w:bookmarkEnd w:id="39"/>
    </w:p>
    <w:p w14:paraId="3EB3845A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40" w:name="_Toc8768"/>
      <w:bookmarkStart w:id="41" w:name="_Toc4264"/>
      <w:r>
        <w:rPr>
          <w:rFonts w:hint="default" w:ascii="Times New Roman" w:hAnsi="Times New Roman" w:cs="Times New Roman"/>
          <w:highlight w:val="none"/>
        </w:rPr>
        <w:t>主梁</w:t>
      </w:r>
      <w:r>
        <w:rPr>
          <w:rFonts w:hint="eastAsia" w:cs="Times New Roman"/>
          <w:highlight w:val="none"/>
          <w:lang w:eastAsia="zh-CN"/>
        </w:rPr>
        <w:t>线形</w:t>
      </w:r>
      <w:bookmarkEnd w:id="40"/>
      <w:bookmarkEnd w:id="41"/>
    </w:p>
    <w:p w14:paraId="2B3A1660">
      <w:pPr>
        <w:pStyle w:val="6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在桥</w:t>
      </w:r>
      <w:r>
        <w:rPr>
          <w:rFonts w:hint="eastAsia"/>
          <w:highlight w:val="none"/>
          <w:lang w:val="en-US" w:eastAsia="zh-CN"/>
        </w:rPr>
        <w:t>面</w:t>
      </w:r>
      <w:r>
        <w:rPr>
          <w:rFonts w:hint="default"/>
          <w:highlight w:val="none"/>
          <w:lang w:val="en-US" w:eastAsia="zh-CN"/>
        </w:rPr>
        <w:t>上</w:t>
      </w:r>
      <w:r>
        <w:rPr>
          <w:rFonts w:hint="eastAsia"/>
          <w:highlight w:val="none"/>
          <w:lang w:val="en-US" w:eastAsia="zh-CN"/>
        </w:rPr>
        <w:t>游侧、中间、</w:t>
      </w:r>
      <w:r>
        <w:rPr>
          <w:rFonts w:hint="default"/>
          <w:highlight w:val="none"/>
          <w:lang w:val="en-US" w:eastAsia="zh-CN"/>
        </w:rPr>
        <w:t>下游侧分别布置</w:t>
      </w:r>
      <w:r>
        <w:rPr>
          <w:rFonts w:hint="eastAsia"/>
          <w:highlight w:val="none"/>
          <w:lang w:val="en-US" w:eastAsia="zh-CN"/>
        </w:rPr>
        <w:t>线形</w:t>
      </w:r>
      <w:r>
        <w:rPr>
          <w:rFonts w:hint="default"/>
          <w:highlight w:val="none"/>
          <w:lang w:val="en-US" w:eastAsia="zh-CN"/>
        </w:rPr>
        <w:t>测点，测点沿纵桥向布置，</w:t>
      </w:r>
      <w:r>
        <w:rPr>
          <w:rFonts w:hint="eastAsia"/>
          <w:highlight w:val="none"/>
          <w:lang w:val="en-US" w:eastAsia="zh-CN"/>
        </w:rPr>
        <w:t>间隔10m，</w:t>
      </w:r>
      <w:r>
        <w:rPr>
          <w:rFonts w:hint="default"/>
          <w:highlight w:val="none"/>
          <w:lang w:val="en-US" w:eastAsia="zh-CN"/>
        </w:rPr>
        <w:t>全桥</w:t>
      </w:r>
      <w:r>
        <w:rPr>
          <w:rFonts w:hint="eastAsia"/>
          <w:highlight w:val="none"/>
          <w:lang w:val="en-US" w:eastAsia="zh-CN"/>
        </w:rPr>
        <w:t>单条测线</w:t>
      </w:r>
      <w:r>
        <w:rPr>
          <w:rFonts w:hint="default"/>
          <w:highlight w:val="none"/>
          <w:lang w:val="en-US" w:eastAsia="zh-CN"/>
        </w:rPr>
        <w:t>分别布置</w:t>
      </w:r>
      <w:r>
        <w:rPr>
          <w:rFonts w:hint="eastAsia"/>
          <w:highlight w:val="none"/>
          <w:lang w:val="en-US" w:eastAsia="zh-CN"/>
        </w:rPr>
        <w:t>41</w:t>
      </w:r>
      <w:r>
        <w:rPr>
          <w:rFonts w:hint="default"/>
          <w:highlight w:val="none"/>
          <w:lang w:val="en-US" w:eastAsia="zh-CN"/>
        </w:rPr>
        <w:t>个</w:t>
      </w:r>
      <w:r>
        <w:rPr>
          <w:rFonts w:hint="eastAsia"/>
          <w:highlight w:val="none"/>
          <w:lang w:val="en-US" w:eastAsia="zh-CN"/>
        </w:rPr>
        <w:t>桥面</w:t>
      </w:r>
      <w:r>
        <w:rPr>
          <w:rFonts w:hint="default"/>
          <w:highlight w:val="none"/>
          <w:lang w:val="en-US" w:eastAsia="zh-CN"/>
        </w:rPr>
        <w:t>测点</w:t>
      </w:r>
      <w:r>
        <w:rPr>
          <w:rFonts w:hint="eastAsia"/>
          <w:highlight w:val="none"/>
          <w:lang w:val="en-US" w:eastAsia="zh-CN"/>
        </w:rPr>
        <w:t>，共布置123个测点。上、下游</w:t>
      </w:r>
      <w:r>
        <w:rPr>
          <w:rFonts w:hint="default"/>
          <w:highlight w:val="none"/>
          <w:lang w:val="en-US" w:eastAsia="zh-CN"/>
        </w:rPr>
        <w:t>测点布设在</w:t>
      </w:r>
      <w:r>
        <w:rPr>
          <w:rFonts w:hint="eastAsia"/>
          <w:highlight w:val="none"/>
          <w:lang w:val="en-US" w:eastAsia="zh-CN"/>
        </w:rPr>
        <w:t>人行道路缘</w:t>
      </w:r>
      <w:r>
        <w:rPr>
          <w:rFonts w:hint="default"/>
          <w:highlight w:val="none"/>
          <w:lang w:val="en-US" w:eastAsia="zh-CN"/>
        </w:rPr>
        <w:t>石</w:t>
      </w:r>
      <w:r>
        <w:rPr>
          <w:rFonts w:hint="eastAsia"/>
          <w:highlight w:val="none"/>
          <w:lang w:val="en-US" w:eastAsia="zh-CN"/>
        </w:rPr>
        <w:t>旁，中间测点布置于中间护栏基座上，采用</w:t>
      </w:r>
      <w:r>
        <w:rPr>
          <w:rFonts w:hint="default"/>
          <w:highlight w:val="none"/>
          <w:lang w:val="en-US" w:eastAsia="zh-CN"/>
        </w:rPr>
        <w:t>永久埋入式测钉</w:t>
      </w:r>
      <w:r>
        <w:rPr>
          <w:rFonts w:hint="eastAsia"/>
          <w:highlight w:val="none"/>
          <w:lang w:val="en-US" w:eastAsia="zh-CN"/>
        </w:rPr>
        <w:t>固定于桥面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eastAsia"/>
          <w:highlight w:val="none"/>
        </w:rPr>
        <w:t>以1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#墩伸缩缝</w:t>
      </w:r>
      <w:r>
        <w:rPr>
          <w:rFonts w:hint="eastAsia"/>
          <w:highlight w:val="none"/>
          <w:lang w:eastAsia="zh-CN"/>
        </w:rPr>
        <w:t>小</w:t>
      </w:r>
      <w:r>
        <w:rPr>
          <w:rFonts w:hint="eastAsia"/>
          <w:highlight w:val="none"/>
        </w:rPr>
        <w:t>里程位置测点高程为零，</w:t>
      </w:r>
      <w:r>
        <w:rPr>
          <w:rFonts w:hint="eastAsia"/>
          <w:highlight w:val="none"/>
          <w:lang w:val="en-US" w:eastAsia="zh-CN"/>
        </w:rPr>
        <w:t>主梁线形编号规则为：编号“50-1/2/3#”测点表示纵桥向距离11#墩50m处中间幅测点。主梁</w:t>
      </w:r>
      <w:r>
        <w:rPr>
          <w:rFonts w:hint="default"/>
          <w:highlight w:val="none"/>
          <w:lang w:val="en-US" w:eastAsia="zh-CN"/>
        </w:rPr>
        <w:t>线形测点布置如</w:t>
      </w:r>
      <w:r>
        <w:rPr>
          <w:rFonts w:hint="default"/>
          <w:highlight w:val="none"/>
          <w:lang w:val="en-US" w:eastAsia="zh-CN"/>
        </w:rPr>
        <w:fldChar w:fldCharType="begin"/>
      </w:r>
      <w:r>
        <w:rPr>
          <w:rFonts w:hint="default"/>
          <w:highlight w:val="none"/>
          <w:lang w:val="en-US" w:eastAsia="zh-CN"/>
        </w:rPr>
        <w:instrText xml:space="preserve"> REF _Ref4726 \h </w:instrText>
      </w:r>
      <w:r>
        <w:rPr>
          <w:rFonts w:hint="default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</w:t>
      </w:r>
      <w:r>
        <w:rPr>
          <w:rFonts w:hint="default"/>
          <w:highlight w:val="none"/>
          <w:lang w:val="en-US" w:eastAsia="zh-CN"/>
        </w:rPr>
        <w:fldChar w:fldCharType="end"/>
      </w:r>
      <w:r>
        <w:rPr>
          <w:rFonts w:hint="default"/>
          <w:highlight w:val="none"/>
          <w:lang w:val="en-US" w:eastAsia="zh-CN"/>
        </w:rPr>
        <w:t>所示。</w:t>
      </w:r>
    </w:p>
    <w:p w14:paraId="222D3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487035" cy="1381125"/>
            <wp:effectExtent l="0" t="0" r="14605" b="571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9F01">
      <w:pPr>
        <w:pStyle w:val="61"/>
        <w:rPr>
          <w:rFonts w:hint="default" w:ascii="Times New Roman" w:hAnsi="Times New Roman"/>
          <w:highlight w:val="none"/>
          <w:lang w:val="en-US" w:eastAsia="zh-CN"/>
        </w:rPr>
      </w:pPr>
      <w:bookmarkStart w:id="42" w:name="_Ref4726"/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42"/>
      <w:r>
        <w:rPr>
          <w:rFonts w:hint="eastAsia" w:ascii="Times New Roman" w:hAnsi="Times New Roman"/>
          <w:highlight w:val="none"/>
          <w:lang w:val="en-US" w:eastAsia="zh-CN"/>
        </w:rPr>
        <w:t xml:space="preserve"> 桥面线形测点</w:t>
      </w:r>
      <w:r>
        <w:rPr>
          <w:rFonts w:hint="default" w:ascii="Times New Roman" w:hAnsi="Times New Roman"/>
          <w:highlight w:val="none"/>
          <w:lang w:val="en-US" w:eastAsia="zh-CN"/>
        </w:rPr>
        <w:t>布置图</w:t>
      </w:r>
    </w:p>
    <w:p w14:paraId="2122FD3B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43" w:name="_Toc4888"/>
      <w:bookmarkStart w:id="44" w:name="_Toc27916"/>
      <w:r>
        <w:rPr>
          <w:rFonts w:hint="eastAsia" w:cs="Times New Roman"/>
          <w:highlight w:val="none"/>
          <w:lang w:eastAsia="zh-CN"/>
        </w:rPr>
        <w:t>主缆线形</w:t>
      </w:r>
      <w:bookmarkEnd w:id="43"/>
      <w:bookmarkEnd w:id="44"/>
    </w:p>
    <w:p w14:paraId="2A22CC24">
      <w:pPr>
        <w:pStyle w:val="6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在</w:t>
      </w:r>
      <w:r>
        <w:rPr>
          <w:rFonts w:hint="eastAsia"/>
          <w:highlight w:val="none"/>
          <w:lang w:val="en-US" w:eastAsia="zh-CN"/>
        </w:rPr>
        <w:t>主缆每个索夹位置</w:t>
      </w:r>
      <w:r>
        <w:rPr>
          <w:rFonts w:hint="default"/>
          <w:highlight w:val="none"/>
          <w:lang w:val="en-US" w:eastAsia="zh-CN"/>
        </w:rPr>
        <w:t>布置</w:t>
      </w:r>
      <w:r>
        <w:rPr>
          <w:rFonts w:hint="eastAsia"/>
          <w:highlight w:val="none"/>
          <w:lang w:val="en-US" w:eastAsia="zh-CN"/>
        </w:rPr>
        <w:t>一个</w:t>
      </w:r>
      <w:r>
        <w:rPr>
          <w:rFonts w:hint="default"/>
          <w:highlight w:val="none"/>
          <w:lang w:val="en-US" w:eastAsia="zh-CN"/>
        </w:rPr>
        <w:t>测点</w:t>
      </w:r>
      <w:r>
        <w:rPr>
          <w:rFonts w:hint="eastAsia"/>
          <w:highlight w:val="none"/>
          <w:lang w:val="en-US" w:eastAsia="zh-CN"/>
        </w:rPr>
        <w:t>，共布置44个测点。采用反射片粘贴于索夹纵向侧面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default" w:ascii="Times New Roman" w:hAnsi="Times New Roman" w:cs="Times New Roman"/>
          <w:highlight w:val="none"/>
        </w:rPr>
        <w:t>以桥面线形测点1</w:t>
      </w:r>
      <w:r>
        <w:rPr>
          <w:rFonts w:hint="eastAsia" w:cs="Times New Roman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highlight w:val="none"/>
        </w:rPr>
        <w:t>#墩伸缩缝</w:t>
      </w:r>
      <w:r>
        <w:rPr>
          <w:rFonts w:hint="eastAsia" w:cs="Times New Roman"/>
          <w:highlight w:val="none"/>
          <w:lang w:eastAsia="zh-CN"/>
        </w:rPr>
        <w:t>小</w:t>
      </w:r>
      <w:r>
        <w:rPr>
          <w:rFonts w:hint="default" w:ascii="Times New Roman" w:hAnsi="Times New Roman" w:cs="Times New Roman"/>
          <w:highlight w:val="none"/>
        </w:rPr>
        <w:t>里程位置高程为零</w:t>
      </w:r>
      <w:r>
        <w:rPr>
          <w:rFonts w:hint="eastAsia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主缆线形编号规则为：上游农大侧、下游农大侧、上游闽侯侧、下游闽侯侧编号分别为NS、NX、MS、MX，如编号“NS5”代表上游农大侧5#索夹处测点。主缆</w:t>
      </w:r>
      <w:r>
        <w:rPr>
          <w:rFonts w:hint="default"/>
          <w:highlight w:val="none"/>
          <w:lang w:val="en-US" w:eastAsia="zh-CN"/>
        </w:rPr>
        <w:t>线形测点布置如</w:t>
      </w:r>
      <w:r>
        <w:rPr>
          <w:rFonts w:hint="default"/>
          <w:highlight w:val="none"/>
          <w:lang w:val="en-US" w:eastAsia="zh-CN"/>
        </w:rPr>
        <w:fldChar w:fldCharType="begin"/>
      </w:r>
      <w:r>
        <w:rPr>
          <w:rFonts w:hint="default"/>
          <w:highlight w:val="none"/>
          <w:lang w:val="en-US" w:eastAsia="zh-CN"/>
        </w:rPr>
        <w:instrText xml:space="preserve"> REF _Ref4997 \h </w:instrText>
      </w:r>
      <w:r>
        <w:rPr>
          <w:rFonts w:hint="default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 xml:space="preserve">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STYLEREF 1 \s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-2</w:t>
      </w:r>
      <w:r>
        <w:rPr>
          <w:rFonts w:hint="default"/>
          <w:highlight w:val="none"/>
          <w:lang w:val="en-US" w:eastAsia="zh-CN"/>
        </w:rPr>
        <w:fldChar w:fldCharType="end"/>
      </w:r>
      <w:r>
        <w:rPr>
          <w:rFonts w:hint="default"/>
          <w:highlight w:val="none"/>
          <w:lang w:val="en-US" w:eastAsia="zh-CN"/>
        </w:rPr>
        <w:t>所示。</w:t>
      </w:r>
    </w:p>
    <w:p w14:paraId="44A33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392420" cy="1318895"/>
            <wp:effectExtent l="0" t="0" r="2540" b="698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AC7D">
      <w:pPr>
        <w:pStyle w:val="61"/>
        <w:rPr>
          <w:rFonts w:hint="default"/>
          <w:highlight w:val="none"/>
        </w:rPr>
      </w:pPr>
      <w:bookmarkStart w:id="45" w:name="_Ref4997"/>
      <w:r>
        <w:rPr>
          <w:rFonts w:hint="eastAsia"/>
          <w:highlight w:val="none"/>
          <w:lang w:val="en-US" w:eastAsia="zh-CN"/>
        </w:rPr>
        <w:t xml:space="preserve">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STYLEREF 1 \s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SEQ 图 \* ARABIC \s 1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fldChar w:fldCharType="end"/>
      </w:r>
      <w:bookmarkEnd w:id="45"/>
      <w:r>
        <w:rPr>
          <w:rFonts w:hint="eastAsia"/>
          <w:highlight w:val="none"/>
          <w:lang w:val="en-US" w:eastAsia="zh-CN"/>
        </w:rPr>
        <w:t xml:space="preserve"> 主缆线形测点</w:t>
      </w:r>
      <w:r>
        <w:rPr>
          <w:rFonts w:hint="default"/>
          <w:highlight w:val="none"/>
        </w:rPr>
        <w:t>布置图（单位：cm）</w:t>
      </w:r>
    </w:p>
    <w:p w14:paraId="3337ABD2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46" w:name="_Toc3121"/>
      <w:bookmarkStart w:id="47" w:name="_Toc29444"/>
      <w:r>
        <w:rPr>
          <w:rFonts w:hint="eastAsia" w:cs="Times New Roman"/>
          <w:highlight w:val="none"/>
          <w:lang w:eastAsia="zh-CN"/>
        </w:rPr>
        <w:t>主塔变形</w:t>
      </w:r>
      <w:bookmarkEnd w:id="46"/>
      <w:bookmarkEnd w:id="47"/>
    </w:p>
    <w:p w14:paraId="3EACF0A0">
      <w:pPr>
        <w:pStyle w:val="60"/>
        <w:ind w:firstLine="64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highlight w:val="none"/>
          <w:lang w:val="en-US" w:eastAsia="zh-CN"/>
        </w:rPr>
        <w:t>在主塔左、右塔柱上下各布置一个测点，共布置4个测点，采用棱镜固定在主塔内侧面上。主塔变形测点编号为：T1～T4。安装位置如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highlight w:val="none"/>
          <w:lang w:val="en-US" w:eastAsia="zh-CN"/>
        </w:rPr>
        <w:instrText xml:space="preserve"> REF _Ref28891 \h </w:instrText>
      </w:r>
      <w:r>
        <w:rPr>
          <w:rFonts w:hint="eastAsia" w:ascii="Times New Roman" w:hAnsi="Times New Roman" w:cs="Times New Roman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 xml:space="preserve">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STYLEREF 1 \s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-3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highlight w:val="none"/>
          <w:lang w:val="en-US" w:eastAsia="zh-CN"/>
        </w:rPr>
        <w:t>所示。</w:t>
      </w:r>
    </w:p>
    <w:p w14:paraId="70069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2880360" cy="3740150"/>
            <wp:effectExtent l="0" t="0" r="0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0F6E">
      <w:pPr>
        <w:pStyle w:val="61"/>
        <w:rPr>
          <w:rFonts w:hint="eastAsia"/>
          <w:highlight w:val="none"/>
          <w:lang w:eastAsia="zh-CN"/>
        </w:rPr>
      </w:pPr>
      <w:bookmarkStart w:id="48" w:name="_Ref28891"/>
      <w:r>
        <w:rPr>
          <w:rFonts w:hint="eastAsia"/>
          <w:highlight w:val="none"/>
          <w:lang w:val="en-US" w:eastAsia="zh-CN"/>
        </w:rPr>
        <w:t xml:space="preserve">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STYLEREF 1 \s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SEQ 图 \* ARABIC \s 1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val="en-US" w:eastAsia="zh-CN"/>
        </w:rPr>
        <w:fldChar w:fldCharType="end"/>
      </w:r>
      <w:bookmarkEnd w:id="48"/>
      <w:r>
        <w:rPr>
          <w:rFonts w:hint="eastAsia"/>
          <w:highlight w:val="none"/>
          <w:lang w:val="en-US" w:eastAsia="zh-CN"/>
        </w:rPr>
        <w:t xml:space="preserve"> 主塔变形测点</w:t>
      </w:r>
      <w:r>
        <w:rPr>
          <w:rFonts w:hint="eastAsia"/>
          <w:highlight w:val="none"/>
        </w:rPr>
        <w:t>布置图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单位：m</w:t>
      </w:r>
      <w:r>
        <w:rPr>
          <w:rFonts w:hint="eastAsia"/>
          <w:highlight w:val="none"/>
          <w:lang w:eastAsia="zh-CN"/>
        </w:rPr>
        <w:t>）</w:t>
      </w:r>
    </w:p>
    <w:p w14:paraId="505693E0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49" w:name="_Toc22580"/>
      <w:bookmarkStart w:id="50" w:name="_Toc22817"/>
      <w:r>
        <w:rPr>
          <w:rFonts w:hint="eastAsia" w:cs="Times New Roman"/>
          <w:sz w:val="24"/>
          <w:szCs w:val="24"/>
          <w:highlight w:val="none"/>
          <w:lang w:val="en-US" w:eastAsia="zh-CN"/>
        </w:rPr>
        <w:t>交通状况监测</w:t>
      </w:r>
      <w:bookmarkEnd w:id="49"/>
      <w:bookmarkEnd w:id="50"/>
    </w:p>
    <w:p w14:paraId="37F2C2A5">
      <w:pPr>
        <w:pStyle w:val="60"/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交通状况监测子系统由车辆高速动态称重系统组成。洪塘大桥为双向8车道布局，车辆高速动态称重系统布置于西引桥附近路面引道，高清摄像机覆盖动态称重系统地面传感器区域，共4个，布置位置及示意图如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_Ref24947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-4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110721FE">
      <w:pPr>
        <w:pStyle w:val="2"/>
        <w:ind w:left="0" w:leftChars="0" w:firstLine="0" w:firstLineChars="0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672455" cy="1264285"/>
            <wp:effectExtent l="0" t="0" r="0" b="635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E9FD">
      <w:pPr>
        <w:pStyle w:val="61"/>
        <w:rPr>
          <w:rFonts w:hint="eastAsia" w:ascii="Times New Roman" w:hAnsi="Times New Roman"/>
          <w:highlight w:val="none"/>
          <w:lang w:val="en-US" w:eastAsia="zh-CN"/>
        </w:rPr>
      </w:pPr>
      <w:bookmarkStart w:id="51" w:name="_Ref24947"/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51"/>
      <w:r>
        <w:rPr>
          <w:rFonts w:hint="eastAsia" w:ascii="Times New Roman" w:hAnsi="Times New Roman"/>
          <w:highlight w:val="none"/>
          <w:lang w:val="en-US" w:eastAsia="zh-CN"/>
        </w:rPr>
        <w:t xml:space="preserve"> 动态称重系统布置示意图</w:t>
      </w:r>
    </w:p>
    <w:p w14:paraId="31A0B8E7">
      <w:pPr>
        <w:pStyle w:val="60"/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其</w:t>
      </w:r>
      <w:r>
        <w:rPr>
          <w:rFonts w:hint="default"/>
          <w:highlight w:val="none"/>
        </w:rPr>
        <w:t>中</w:t>
      </w:r>
      <w:r>
        <w:rPr>
          <w:rFonts w:hint="eastAsia"/>
          <w:highlight w:val="none"/>
          <w:lang w:val="en-US" w:eastAsia="zh-CN"/>
        </w:rPr>
        <w:t>闽侯</w:t>
      </w:r>
      <w:r>
        <w:rPr>
          <w:rFonts w:hint="default"/>
          <w:highlight w:val="none"/>
        </w:rPr>
        <w:t>往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default"/>
          <w:highlight w:val="none"/>
        </w:rPr>
        <w:t>方向为车道1～车道</w:t>
      </w:r>
      <w:r>
        <w:rPr>
          <w:rFonts w:hint="eastAsia"/>
          <w:highlight w:val="none"/>
          <w:lang w:val="en-US" w:eastAsia="zh-CN"/>
        </w:rPr>
        <w:t>4</w:t>
      </w:r>
      <w:r>
        <w:rPr>
          <w:rFonts w:hint="default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default"/>
          <w:highlight w:val="none"/>
        </w:rPr>
        <w:t>往</w:t>
      </w:r>
      <w:r>
        <w:rPr>
          <w:rFonts w:hint="eastAsia"/>
          <w:highlight w:val="none"/>
          <w:lang w:val="en-US" w:eastAsia="zh-CN"/>
        </w:rPr>
        <w:t>闽侯</w:t>
      </w:r>
      <w:r>
        <w:rPr>
          <w:rFonts w:hint="default"/>
          <w:highlight w:val="none"/>
        </w:rPr>
        <w:t>方向为车道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default"/>
          <w:highlight w:val="none"/>
        </w:rPr>
        <w:t>～车道</w:t>
      </w:r>
      <w:r>
        <w:rPr>
          <w:rFonts w:hint="eastAsia"/>
          <w:highlight w:val="none"/>
          <w:lang w:val="en-US" w:eastAsia="zh-CN"/>
        </w:rPr>
        <w:t>8</w:t>
      </w:r>
      <w:r>
        <w:rPr>
          <w:rFonts w:hint="default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测点编号示意图</w:t>
      </w:r>
      <w:r>
        <w:rPr>
          <w:rFonts w:hint="default"/>
          <w:highlight w:val="none"/>
        </w:rPr>
        <w:t>如</w:t>
      </w:r>
      <w:r>
        <w:rPr>
          <w:rFonts w:hint="default"/>
          <w:highlight w:val="none"/>
          <w:lang w:val="en-US"/>
        </w:rPr>
        <w:fldChar w:fldCharType="begin"/>
      </w:r>
      <w:r>
        <w:rPr>
          <w:rFonts w:hint="default"/>
          <w:highlight w:val="none"/>
          <w:lang w:val="en-US"/>
        </w:rPr>
        <w:instrText xml:space="preserve"> REF _Ref32132 \h </w:instrText>
      </w:r>
      <w:r>
        <w:rPr>
          <w:rFonts w:hint="default"/>
          <w:highlight w:val="none"/>
          <w:lang w:val="en-US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-5</w:t>
      </w:r>
      <w:r>
        <w:rPr>
          <w:rFonts w:hint="default"/>
          <w:highlight w:val="none"/>
          <w:lang w:val="en-US"/>
        </w:rPr>
        <w:fldChar w:fldCharType="end"/>
      </w:r>
      <w:r>
        <w:rPr>
          <w:rFonts w:hint="default"/>
          <w:highlight w:val="none"/>
        </w:rPr>
        <w:t>所示</w:t>
      </w:r>
      <w:r>
        <w:rPr>
          <w:rFonts w:hint="eastAsia"/>
          <w:highlight w:val="none"/>
          <w:lang w:eastAsia="zh-CN"/>
        </w:rPr>
        <w:t>。</w:t>
      </w:r>
    </w:p>
    <w:p w14:paraId="78D3149E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3699510" cy="2015490"/>
            <wp:effectExtent l="0" t="0" r="3810" b="11430"/>
            <wp:docPr id="1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FCBE">
      <w:pPr>
        <w:pStyle w:val="61"/>
        <w:rPr>
          <w:rFonts w:hint="eastAsia" w:ascii="Times New Roman" w:hAnsi="Times New Roman"/>
          <w:highlight w:val="none"/>
          <w:lang w:val="en-US" w:eastAsia="zh-CN"/>
        </w:rPr>
      </w:pPr>
      <w:bookmarkStart w:id="52" w:name="_Ref32132"/>
      <w:r>
        <w:rPr>
          <w:rFonts w:hint="eastAsia" w:ascii="Times New Roman" w:hAnsi="Times New Roman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5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52"/>
      <w:r>
        <w:rPr>
          <w:rFonts w:hint="eastAsia" w:ascii="Times New Roman" w:hAnsi="Times New Roman"/>
          <w:highlight w:val="none"/>
          <w:lang w:val="en-US" w:eastAsia="zh-CN"/>
        </w:rPr>
        <w:t xml:space="preserve"> 动态称重系统测点编号示意图</w:t>
      </w:r>
    </w:p>
    <w:p w14:paraId="093C65EC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53" w:name="_Toc16306"/>
      <w:bookmarkStart w:id="54" w:name="_Toc8810"/>
      <w:r>
        <w:rPr>
          <w:rFonts w:hint="eastAsia" w:cs="Times New Roman"/>
          <w:sz w:val="24"/>
          <w:szCs w:val="24"/>
          <w:highlight w:val="none"/>
          <w:lang w:val="en-US" w:eastAsia="zh-CN"/>
        </w:rPr>
        <w:t>结构应变监测</w:t>
      </w:r>
      <w:bookmarkEnd w:id="53"/>
      <w:bookmarkEnd w:id="54"/>
    </w:p>
    <w:p w14:paraId="26B898F8">
      <w:pPr>
        <w:pStyle w:val="60"/>
        <w:bidi w:val="0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依据洪塘大桥的结构特点，选择受力较不利截面和变形较大截面作为本次监测的重点关注截面，其中主梁监测截面位置及编号、混凝土主塔监测截面位置及编号见</w:t>
      </w:r>
      <w:r>
        <w:rPr>
          <w:rFonts w:hint="default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2-6、</w:t>
      </w:r>
      <w:r>
        <w:rPr>
          <w:rFonts w:hint="default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2-7</w:t>
      </w:r>
      <w:r>
        <w:rPr>
          <w:rFonts w:hint="eastAsia" w:cs="Times New Roman"/>
          <w:highlight w:val="none"/>
          <w:lang w:val="en-US" w:eastAsia="zh-CN"/>
        </w:rPr>
        <w:t>：</w:t>
      </w:r>
    </w:p>
    <w:p w14:paraId="6AB03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cs="Times New Roman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71135" cy="1777365"/>
            <wp:effectExtent l="0" t="0" r="1905" b="571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9644">
      <w:pPr>
        <w:pStyle w:val="60"/>
        <w:bidi w:val="0"/>
        <w:jc w:val="center"/>
        <w:rPr>
          <w:rFonts w:hint="default" w:ascii="Times New Roman" w:hAnsi="Times New Roman" w:eastAsia="楷体_GB2312" w:cs="Times New Roman"/>
          <w:szCs w:val="21"/>
          <w:highlight w:val="none"/>
        </w:rPr>
      </w:pPr>
      <w:r>
        <w:rPr>
          <w:rFonts w:hint="default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6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default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钢结构主梁监测截面布置示意图</w:t>
      </w:r>
      <w:r>
        <w:rPr>
          <w:rFonts w:hint="default" w:ascii="Times New Roman" w:hAnsi="Times New Roman" w:eastAsia="楷体_GB2312" w:cs="Times New Roman"/>
          <w:szCs w:val="21"/>
          <w:highlight w:val="none"/>
        </w:rPr>
        <w:t>（单位：m）</w:t>
      </w:r>
    </w:p>
    <w:p w14:paraId="1C54F9AA">
      <w:pPr>
        <w:pStyle w:val="2"/>
        <w:rPr>
          <w:rFonts w:hint="default"/>
          <w:highlight w:val="none"/>
        </w:rPr>
      </w:pPr>
    </w:p>
    <w:p w14:paraId="4B155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cs="Times New Roman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2879725" cy="3303905"/>
            <wp:effectExtent l="0" t="0" r="635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33D8">
      <w:pPr>
        <w:pStyle w:val="60"/>
        <w:bidi w:val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7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主塔监测截面布置示意图（单位：m）</w:t>
      </w:r>
    </w:p>
    <w:p w14:paraId="27A11A6E">
      <w:pPr>
        <w:pStyle w:val="60"/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（1）主梁应变监测</w:t>
      </w:r>
    </w:p>
    <w:p w14:paraId="4A2B35F6">
      <w:pPr>
        <w:pStyle w:val="60"/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主梁</w:t>
      </w:r>
      <w:r>
        <w:rPr>
          <w:rFonts w:hint="default"/>
          <w:highlight w:val="none"/>
        </w:rPr>
        <w:t>应变测量采用</w:t>
      </w:r>
      <w:r>
        <w:rPr>
          <w:rFonts w:hint="eastAsia"/>
          <w:highlight w:val="none"/>
          <w:lang w:val="en-US" w:eastAsia="zh-CN"/>
        </w:rPr>
        <w:t>振弦式</w:t>
      </w:r>
      <w:r>
        <w:rPr>
          <w:rFonts w:hint="default"/>
          <w:highlight w:val="none"/>
          <w:lang w:val="en-US" w:eastAsia="zh-CN"/>
        </w:rPr>
        <w:t>表面</w:t>
      </w:r>
      <w:r>
        <w:rPr>
          <w:rFonts w:hint="default"/>
          <w:highlight w:val="none"/>
        </w:rPr>
        <w:t>应变计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监测截面共7个，分别为B、C、D、E、F、G、H截面。编号规则：应变“S”为首字母，截面“x”为第二个字母，主梁编号为“Sx1~Sx6”，例如SB3，表示B截面，3#应变测点。编号示意图如下所示。</w:t>
      </w:r>
    </w:p>
    <w:p w14:paraId="4C99C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cs="Times New Roman"/>
          <w:sz w:val="24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4831080" cy="81534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D325">
      <w:pPr>
        <w:pStyle w:val="60"/>
        <w:bidi w:val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8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截面应变测点布置图</w:t>
      </w:r>
    </w:p>
    <w:p w14:paraId="278EAD4C">
      <w:pPr>
        <w:pStyle w:val="60"/>
        <w:bidi w:val="0"/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（</w:t>
      </w:r>
      <w:r>
        <w:rPr>
          <w:rFonts w:hint="eastAsia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-SA"/>
        </w:rPr>
        <w:t>2）</w:t>
      </w:r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主塔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t>应变</w:t>
      </w:r>
      <w:r>
        <w:rPr>
          <w:rFonts w:hint="eastAsia"/>
          <w:highlight w:val="none"/>
          <w:lang w:val="en-US" w:eastAsia="zh-CN"/>
        </w:rPr>
        <w:t>监测</w:t>
      </w:r>
    </w:p>
    <w:p w14:paraId="58752993">
      <w:pPr>
        <w:pStyle w:val="60"/>
        <w:bidi w:val="0"/>
        <w:rPr>
          <w:rFonts w:hint="default"/>
          <w:highlight w:val="none"/>
        </w:rPr>
      </w:pPr>
      <w:r>
        <w:rPr>
          <w:rFonts w:hint="eastAsia"/>
          <w:highlight w:val="none"/>
          <w:lang w:val="en-US" w:eastAsia="zh-CN"/>
        </w:rPr>
        <w:t>主塔应力</w:t>
      </w:r>
      <w:r>
        <w:rPr>
          <w:rFonts w:hint="default"/>
          <w:highlight w:val="none"/>
        </w:rPr>
        <w:t>测量采用</w:t>
      </w:r>
      <w:r>
        <w:rPr>
          <w:rFonts w:hint="eastAsia"/>
          <w:highlight w:val="none"/>
          <w:lang w:val="en-US" w:eastAsia="zh-CN"/>
        </w:rPr>
        <w:t>混凝土</w:t>
      </w:r>
      <w:r>
        <w:rPr>
          <w:rFonts w:hint="default"/>
          <w:highlight w:val="none"/>
          <w:lang w:val="en-US" w:eastAsia="zh-CN"/>
        </w:rPr>
        <w:t>表面</w:t>
      </w:r>
      <w:r>
        <w:rPr>
          <w:rFonts w:hint="default"/>
          <w:highlight w:val="none"/>
        </w:rPr>
        <w:t>式应变计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监测截面为L、K截面，L截面布置10个，K截面布置12个，共计22个测点，主塔应变测点编号规则与主梁相同，</w:t>
      </w:r>
      <w:r>
        <w:rPr>
          <w:rFonts w:hint="default"/>
          <w:highlight w:val="none"/>
        </w:rPr>
        <w:t>应变测点布置详见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>-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9、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>-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10</w:t>
      </w:r>
      <w:r>
        <w:rPr>
          <w:rFonts w:hint="default"/>
          <w:highlight w:val="none"/>
        </w:rPr>
        <w:t>。</w:t>
      </w:r>
    </w:p>
    <w:p w14:paraId="3D3D4E69">
      <w:pPr>
        <w:pStyle w:val="60"/>
        <w:bidi w:val="0"/>
        <w:rPr>
          <w:rFonts w:hint="default"/>
          <w:highlight w:val="none"/>
        </w:rPr>
      </w:pPr>
    </w:p>
    <w:p w14:paraId="3A3BB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/>
        <w:ind w:right="0" w:rightChars="0" w:firstLine="0" w:firstLineChars="0"/>
        <w:jc w:val="center"/>
        <w:textAlignment w:val="auto"/>
        <w:outlineLvl w:val="9"/>
        <w:rPr>
          <w:rFonts w:hint="eastAsia" w:ascii="仿宋" w:hAnsi="仿宋" w:cs="仿宋"/>
          <w:bCs/>
          <w:szCs w:val="21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4097655" cy="1512570"/>
            <wp:effectExtent l="0" t="0" r="1905" b="11430"/>
            <wp:docPr id="1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3A17">
      <w:pPr>
        <w:pStyle w:val="60"/>
        <w:bidi w:val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9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主塔L截面应变测点布置图</w:t>
      </w:r>
    </w:p>
    <w:p w14:paraId="7E4E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/>
        <w:ind w:right="0" w:rightChars="0" w:firstLine="0" w:firstLineChars="0"/>
        <w:jc w:val="center"/>
        <w:textAlignment w:val="auto"/>
        <w:outlineLvl w:val="9"/>
        <w:rPr>
          <w:rFonts w:hint="eastAsia" w:ascii="仿宋" w:hAnsi="仿宋" w:cs="仿宋"/>
          <w:bCs/>
          <w:szCs w:val="21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4319905" cy="1543685"/>
            <wp:effectExtent l="0" t="0" r="8255" b="10795"/>
            <wp:docPr id="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A68C">
      <w:pPr>
        <w:pStyle w:val="60"/>
        <w:bidi w:val="0"/>
        <w:jc w:val="center"/>
        <w:rPr>
          <w:rFonts w:hint="default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10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主塔K截面应变测点布置图</w:t>
      </w:r>
    </w:p>
    <w:p w14:paraId="7C345A94">
      <w:pPr>
        <w:rPr>
          <w:rFonts w:hint="default"/>
          <w:highlight w:val="none"/>
        </w:rPr>
      </w:pPr>
    </w:p>
    <w:p w14:paraId="25A1C5F7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55" w:name="_Toc4690"/>
      <w:bookmarkStart w:id="56" w:name="_Toc26781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主塔倾斜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监测</w:t>
      </w:r>
      <w:bookmarkEnd w:id="55"/>
      <w:bookmarkEnd w:id="56"/>
    </w:p>
    <w:p w14:paraId="19B9F444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主塔倾斜采用倾角仪实时测量，</w:t>
      </w:r>
      <w:r>
        <w:rPr>
          <w:rFonts w:hint="default"/>
          <w:highlight w:val="none"/>
          <w:lang w:eastAsia="zh-CN"/>
        </w:rPr>
        <w:t>通过</w:t>
      </w:r>
      <w:r>
        <w:rPr>
          <w:rFonts w:hint="default"/>
          <w:highlight w:val="none"/>
          <w:lang w:val="en-US" w:eastAsia="zh-CN"/>
        </w:rPr>
        <w:t>倾角值的变化来反应</w:t>
      </w:r>
      <w:r>
        <w:rPr>
          <w:rFonts w:hint="eastAsia"/>
          <w:highlight w:val="none"/>
          <w:lang w:val="en-US" w:eastAsia="zh-CN"/>
        </w:rPr>
        <w:t>主塔</w:t>
      </w:r>
      <w:r>
        <w:rPr>
          <w:rFonts w:hint="default"/>
          <w:highlight w:val="none"/>
          <w:lang w:val="en-US" w:eastAsia="zh-CN"/>
        </w:rPr>
        <w:t>的</w:t>
      </w:r>
      <w:r>
        <w:rPr>
          <w:rFonts w:hint="eastAsia"/>
          <w:highlight w:val="none"/>
          <w:lang w:val="en-US" w:eastAsia="zh-CN"/>
        </w:rPr>
        <w:t>倾斜情况。倾角仪安装在主塔的顶部截面，安装位置为左右侧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t>塔柱</w:t>
      </w:r>
      <w:r>
        <w:rPr>
          <w:rFonts w:hint="eastAsia"/>
          <w:highlight w:val="none"/>
          <w:lang w:val="en-US" w:eastAsia="zh-CN"/>
        </w:rPr>
        <w:t>内侧面上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共计2个，主塔倾斜测点编号为：Q1～Q2。安装位置如下图所示。</w:t>
      </w:r>
    </w:p>
    <w:p w14:paraId="18F11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rFonts w:hint="default" w:ascii="Times New Roman" w:hAnsi="Times New Roman" w:eastAsia="楷体_GB2312" w:cs="Times New Roman"/>
          <w:sz w:val="24"/>
          <w:highlight w:val="none"/>
        </w:rPr>
        <w:drawing>
          <wp:inline distT="0" distB="0" distL="114300" distR="114300">
            <wp:extent cx="2524125" cy="3276600"/>
            <wp:effectExtent l="0" t="0" r="5715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8857">
      <w:pPr>
        <w:pStyle w:val="60"/>
        <w:bidi w:val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11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主塔倾角测点布置图（单位：m）</w:t>
      </w:r>
    </w:p>
    <w:p w14:paraId="38BFD33D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57" w:name="_Toc12553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支座变位监测</w:t>
      </w:r>
      <w:bookmarkEnd w:id="57"/>
    </w:p>
    <w:p w14:paraId="79994C83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在11#墩～15#墩支座处布置位移计，测量支座相对变位，每个桥墩左、右两个支座各布置1个纵桥向位移计，共计10个，编号规则为：Z12-2为12#墩处右侧支座纵向位移计。位移计布置示意图如下图所示。</w:t>
      </w:r>
    </w:p>
    <w:p w14:paraId="6A615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5399405" cy="1277620"/>
            <wp:effectExtent l="0" t="0" r="10795" b="2540"/>
            <wp:docPr id="1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8D45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支座位移计布置示意图</w:t>
      </w:r>
    </w:p>
    <w:p w14:paraId="7FE13BD1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58" w:name="_Toc31763"/>
      <w:bookmarkStart w:id="59" w:name="_Toc17193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吊索索力监测</w:t>
      </w:r>
      <w:bookmarkEnd w:id="58"/>
      <w:bookmarkEnd w:id="59"/>
    </w:p>
    <w:p w14:paraId="026122B6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吊索及散索索力采用频率法测量，索力传感器附着于吊索及散索表面，吊索分别选择各索面最长、最短和中间长度的吊索作为监测对象，4个散索鞍处各选择2根散索进行监测，全桥共计24根，需要24个索力传感器，编号规则为：索力“C”为首字母，第二个字母为“S”或“X”，“S”为上游侧，“X”为下游侧，例如CS4表示上游侧4#测点。安装位置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_Ref14279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-13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~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_Ref14285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-14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5E982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274310" cy="1332230"/>
            <wp:effectExtent l="0" t="0" r="13970" b="8890"/>
            <wp:docPr id="1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1AC8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0" w:name="_Ref14279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13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0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上游侧索力传感器布置示意图</w:t>
      </w:r>
    </w:p>
    <w:p w14:paraId="429FC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rFonts w:hint="default"/>
          <w:highlight w:val="none"/>
        </w:rPr>
        <w:drawing>
          <wp:inline distT="0" distB="0" distL="114300" distR="114300">
            <wp:extent cx="5274945" cy="1331595"/>
            <wp:effectExtent l="0" t="0" r="0" b="952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CC9F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1" w:name="_Ref14285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1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下游侧索力传感器布置示意图</w:t>
      </w:r>
    </w:p>
    <w:p w14:paraId="0DF8F2E3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62" w:name="_Toc26725"/>
      <w:bookmarkStart w:id="63" w:name="_Toc25375"/>
      <w:bookmarkStart w:id="64" w:name="_Toc21841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主梁、主塔振动监测</w:t>
      </w:r>
      <w:bookmarkEnd w:id="62"/>
      <w:bookmarkEnd w:id="63"/>
      <w:bookmarkEnd w:id="64"/>
    </w:p>
    <w:p w14:paraId="163DAB4C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主梁振动采用竖向加速度传感器测量，加速度传感器布置在左幅箱室内边跨跨中截面，以及主跨的1/4、跨中、3/4截面，编号规则：以加速度“A”为首字母，测点编为A1~A8，总计8个，安装位置如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_Ref14351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-15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~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_Ref14354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-16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1696F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269865" cy="1661160"/>
            <wp:effectExtent l="0" t="0" r="3175" b="0"/>
            <wp:docPr id="2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1B47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5" w:name="_Ref14351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15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5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主梁加速度传感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纵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>断面布置图（单位：m）</w:t>
      </w:r>
    </w:p>
    <w:p w14:paraId="1CDC8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rFonts w:hint="eastAsia" w:cs="Times New Roman"/>
          <w:bCs/>
          <w:sz w:val="24"/>
          <w:highlight w:val="none"/>
          <w:lang w:val="en-US" w:eastAsia="zh-CN"/>
        </w:rPr>
        <w:drawing>
          <wp:inline distT="0" distB="0" distL="114300" distR="114300">
            <wp:extent cx="4319905" cy="725170"/>
            <wp:effectExtent l="0" t="0" r="8255" b="6350"/>
            <wp:docPr id="2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45E8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6" w:name="_Ref14354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16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6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主梁加速度传感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横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>断面布置图（单位：m）</w:t>
      </w:r>
    </w:p>
    <w:p w14:paraId="1893C956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主塔振动采用加速度传感器测量，加速度传感器布置塔顶位置附近，左、右塔柱各布置一个双向振动传感器（纵桥向、横桥向），共计2个，编号为A9、A10，安装位置如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_Ref10922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-17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124F4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2682240" cy="3475990"/>
            <wp:effectExtent l="0" t="0" r="0" b="13970"/>
            <wp:docPr id="2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F859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7" w:name="_Ref10922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17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7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</w:t>
      </w:r>
      <w:r>
        <w:rPr>
          <w:rFonts w:hint="eastAsia" w:cs="Times New Roman"/>
          <w:szCs w:val="21"/>
          <w:highlight w:val="none"/>
          <w:lang w:val="en-US" w:eastAsia="zh-CN"/>
        </w:rPr>
        <w:t>主塔</w:t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>加速度传感布置图（单位：m）</w:t>
      </w:r>
    </w:p>
    <w:p w14:paraId="1E449A82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68" w:name="_Toc25906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风向风速监测</w:t>
      </w:r>
      <w:bookmarkEnd w:id="68"/>
    </w:p>
    <w:p w14:paraId="3861AF11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风向风速监测布置在右幅桥面散索鞍保护罩及桥塔塔顶位置，采用风向风速仪进行监测，编号为W1、W2，布置位置如如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_Ref6548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-18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167C1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drawing>
          <wp:inline distT="0" distB="0" distL="114300" distR="114300">
            <wp:extent cx="5295900" cy="1476375"/>
            <wp:effectExtent l="0" t="0" r="7620" b="0"/>
            <wp:docPr id="2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8D67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bookmarkStart w:id="69" w:name="_Ref6548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18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69"/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风向风速仪布置示意图</w:t>
      </w:r>
    </w:p>
    <w:p w14:paraId="5A8201CA">
      <w:pPr>
        <w:pStyle w:val="4"/>
        <w:numPr>
          <w:ilvl w:val="1"/>
          <w:numId w:val="2"/>
        </w:numPr>
        <w:spacing w:before="0" w:after="0" w:line="360" w:lineRule="exact"/>
        <w:ind w:left="576" w:leftChars="0" w:hanging="576" w:firstLineChars="0"/>
        <w:jc w:val="left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70" w:name="_Toc17072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地震动监测</w:t>
      </w:r>
      <w:bookmarkEnd w:id="70"/>
    </w:p>
    <w:p w14:paraId="7C9A8223">
      <w:pPr>
        <w:pStyle w:val="60"/>
        <w:bidi w:val="0"/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地震动监测测点布置于主桥左侧主墩（13#墩），采用三轴地震仪进行监测，编号为EQ，布置位置如如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_Ref6548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-18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7498C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z w:val="24"/>
          <w:highlight w:val="none"/>
        </w:rPr>
      </w:pPr>
      <w:r>
        <w:drawing>
          <wp:inline distT="0" distB="0" distL="114300" distR="114300">
            <wp:extent cx="5295900" cy="1476375"/>
            <wp:effectExtent l="0" t="0" r="7620" b="0"/>
            <wp:docPr id="2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CC09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图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19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  <w:t xml:space="preserve"> 地震仪布置示意图</w:t>
      </w:r>
    </w:p>
    <w:p w14:paraId="39070D8C">
      <w:pPr>
        <w:pStyle w:val="60"/>
        <w:bidi w:val="0"/>
        <w:ind w:left="0" w:leftChars="0" w:firstLine="0" w:firstLineChars="0"/>
        <w:jc w:val="center"/>
        <w:rPr>
          <w:rFonts w:hint="eastAsia" w:ascii="Times New Roman" w:hAnsi="Times New Roman" w:eastAsia="楷体_GB2312" w:cs="Times New Roman"/>
          <w:szCs w:val="21"/>
          <w:highlight w:val="none"/>
          <w:lang w:val="en-US" w:eastAsia="zh-CN"/>
        </w:rPr>
      </w:pPr>
    </w:p>
    <w:p w14:paraId="624CA467">
      <w:pPr>
        <w:pStyle w:val="2"/>
        <w:rPr>
          <w:rFonts w:hint="default"/>
          <w:highlight w:val="none"/>
        </w:rPr>
        <w:sectPr>
          <w:pgSz w:w="11906" w:h="16838"/>
          <w:pgMar w:top="567" w:right="964" w:bottom="964" w:left="1701" w:header="567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AndChars" w:linePitch="312" w:charSpace="0"/>
        </w:sectPr>
      </w:pPr>
    </w:p>
    <w:p w14:paraId="04718C63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kern w:val="0"/>
          <w:sz w:val="24"/>
          <w:szCs w:val="24"/>
          <w:highlight w:val="none"/>
        </w:rPr>
      </w:pPr>
      <w:r>
        <w:rPr>
          <w:rFonts w:hint="eastAsia" w:cs="Times New Roman"/>
          <w:kern w:val="0"/>
          <w:sz w:val="24"/>
          <w:szCs w:val="24"/>
          <w:highlight w:val="none"/>
          <w:lang w:val="en-US" w:eastAsia="zh-CN"/>
        </w:rPr>
        <w:t xml:space="preserve"> </w:t>
      </w:r>
      <w:bookmarkStart w:id="71" w:name="_Toc8772"/>
      <w:r>
        <w:rPr>
          <w:rFonts w:hint="eastAsia" w:cs="Times New Roman"/>
          <w:kern w:val="0"/>
          <w:sz w:val="24"/>
          <w:szCs w:val="24"/>
          <w:highlight w:val="none"/>
          <w:lang w:eastAsia="zh-CN"/>
        </w:rPr>
        <w:t>报警阈值设置</w:t>
      </w:r>
      <w:bookmarkEnd w:id="71"/>
    </w:p>
    <w:p w14:paraId="0D646B26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72" w:name="_Toc32017"/>
      <w:r>
        <w:rPr>
          <w:rFonts w:hint="eastAsia" w:cs="Times New Roman"/>
          <w:sz w:val="24"/>
          <w:szCs w:val="24"/>
          <w:highlight w:val="none"/>
          <w:lang w:eastAsia="zh-CN"/>
        </w:rPr>
        <w:t>报警阈值设置</w:t>
      </w:r>
      <w:bookmarkEnd w:id="72"/>
    </w:p>
    <w:p w14:paraId="0B4A3D70">
      <w:pPr>
        <w:pStyle w:val="60"/>
        <w:rPr>
          <w:rFonts w:hint="eastAsia"/>
          <w:highlight w:val="none"/>
        </w:rPr>
      </w:pPr>
      <w:r>
        <w:rPr>
          <w:rFonts w:hint="eastAsia"/>
          <w:highlight w:val="none"/>
        </w:rPr>
        <w:t>监测系统运行初期，报警阈值上下限的设定暂按《公路桥梁结构监测技术规范》（JT/T 1037-2022）表9规定执行。</w:t>
      </w:r>
    </w:p>
    <w:p w14:paraId="615137CB">
      <w:pPr>
        <w:pStyle w:val="60"/>
        <w:jc w:val="center"/>
        <w:rPr>
          <w:rFonts w:hint="eastAsia"/>
          <w:highlight w:val="none"/>
          <w:lang w:eastAsia="zh-CN"/>
        </w:rPr>
      </w:pP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桥面线形</w:t>
      </w:r>
      <w:r>
        <w:rPr>
          <w:highlight w:val="none"/>
        </w:rPr>
        <w:t>监测结果汇总表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659"/>
        <w:gridCol w:w="3037"/>
        <w:gridCol w:w="1006"/>
        <w:gridCol w:w="1387"/>
        <w:gridCol w:w="1383"/>
      </w:tblGrid>
      <w:tr w14:paraId="6A7E21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rHeight w:val="630" w:hRule="atLeast"/>
          <w:tblHeader/>
        </w:trPr>
        <w:tc>
          <w:tcPr>
            <w:tcW w:w="106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881D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报警类别</w:t>
            </w: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E60A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报警内容</w:t>
            </w:r>
          </w:p>
        </w:tc>
        <w:tc>
          <w:tcPr>
            <w:tcW w:w="3037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0B31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预警值</w:t>
            </w:r>
          </w:p>
        </w:tc>
        <w:tc>
          <w:tcPr>
            <w:tcW w:w="100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972B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超限级别</w:t>
            </w:r>
          </w:p>
        </w:tc>
        <w:tc>
          <w:tcPr>
            <w:tcW w:w="277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3874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设置数值</w:t>
            </w:r>
          </w:p>
        </w:tc>
      </w:tr>
      <w:tr w14:paraId="17A07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tblHeader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718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6E5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37C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8F7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2B83B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上限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6AD32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下限</w:t>
            </w:r>
          </w:p>
        </w:tc>
      </w:tr>
      <w:tr w14:paraId="19A9F2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183D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作用</w:t>
            </w: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232C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车辆总重或轴重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0890C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达到1.5倍设计车辆荷载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780B2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086E4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82.5t/42t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269D0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2BD142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537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485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62C99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达到2.0倍设计车辆荷载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2DEC5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328A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110t/56t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15692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7F52CB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D6C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3FCE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风速、风向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3E350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桥面10min平均风速达到25m/s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3A978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41516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25m/s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0EA66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29B3B0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216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E14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30DD9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桥面10min平均风速达到0.8倍桥面设计基准风速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13A8B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9D98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29.92m/s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551DE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4B7FB8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0E5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EEA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11A33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桥面10min平均风速达到桥面设计基准风速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0C252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2EB18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37.4m/s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2D614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480538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871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B259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地震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097A2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达到设计E1地震作用加速度峰值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66833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1B0A0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0.45g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7AE5C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1C6A10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FF5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D95C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5A2E7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达到设计E2地震作用加速度峰值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1F718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4049B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0.90g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33E65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0BB760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106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CD00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结构响应</w:t>
            </w: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53ED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主墩墩顶倾角（纵向）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283FB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达到0.8倍设计值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7C25E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098FA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0.038°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09E8E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-0.038°</w:t>
            </w:r>
          </w:p>
        </w:tc>
      </w:tr>
      <w:tr w14:paraId="65AC98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1CB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3597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2BCE1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达到设计值或一个月内出现10次以上黄色报警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43A28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667C5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0.057°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605AD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-0.057°</w:t>
            </w:r>
          </w:p>
        </w:tc>
      </w:tr>
      <w:tr w14:paraId="2DF761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3DF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0C2B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支座位移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1FCE7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绝对值达到0.8倍设计值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550F6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4EE5D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7.1mm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1F406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-7.1mm</w:t>
            </w:r>
          </w:p>
        </w:tc>
      </w:tr>
      <w:tr w14:paraId="060A1C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CF1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AC5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72E71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绝对值达到设计值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41885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1FFE2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8.9mm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247CB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-8.9mm</w:t>
            </w:r>
          </w:p>
        </w:tc>
      </w:tr>
      <w:tr w14:paraId="39E492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3AA8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4B64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梁端纵向位移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63190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绝对值达到0.8倍设计值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5E886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3C75B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7.1mm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75247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-7.1mm</w:t>
            </w:r>
          </w:p>
        </w:tc>
      </w:tr>
      <w:tr w14:paraId="3B126E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77F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FF5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4A912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绝对值达到设计值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13FE7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32E13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8.9mm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37B78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-8.9mm</w:t>
            </w:r>
          </w:p>
        </w:tc>
      </w:tr>
      <w:tr w14:paraId="6F7BBB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ECA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891D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结构静应变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76CB5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超过历史最大值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58B6B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D84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1A1E6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2A2074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3F0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74D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7C4AB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超过设计最不利工况计算值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2339D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50B3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详见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 REF _Ref13312 \h </w:instrTex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highlight w:val="none"/>
              </w:rPr>
              <w:t xml:space="preserve">表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STYLEREF 1 \s </w:instrText>
            </w:r>
            <w:r>
              <w:rPr>
                <w:highlight w:val="none"/>
              </w:rPr>
              <w:fldChar w:fldCharType="separate"/>
            </w:r>
            <w:r>
              <w:rPr>
                <w:highlight w:val="none"/>
              </w:rPr>
              <w:t>3</w:t>
            </w:r>
            <w:r>
              <w:rPr>
                <w:highlight w:val="none"/>
              </w:rPr>
              <w:fldChar w:fldCharType="end"/>
            </w:r>
            <w:r>
              <w:rPr>
                <w:highlight w:val="none"/>
              </w:rPr>
              <w:t>-2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63E56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详见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 REF _Ref13312 \h </w:instrTex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highlight w:val="none"/>
              </w:rPr>
              <w:t xml:space="preserve">表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STYLEREF 1 \s </w:instrText>
            </w:r>
            <w:r>
              <w:rPr>
                <w:highlight w:val="none"/>
              </w:rPr>
              <w:fldChar w:fldCharType="separate"/>
            </w:r>
            <w:r>
              <w:rPr>
                <w:highlight w:val="none"/>
              </w:rPr>
              <w:t>3</w:t>
            </w:r>
            <w:r>
              <w:rPr>
                <w:highlight w:val="none"/>
              </w:rPr>
              <w:fldChar w:fldCharType="end"/>
            </w:r>
            <w:r>
              <w:rPr>
                <w:highlight w:val="none"/>
              </w:rPr>
              <w:t>-2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</w:p>
        </w:tc>
      </w:tr>
      <w:tr w14:paraId="30B9DB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2578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9C30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主梁振动加速度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405B1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10min加速度均方根达到31.5cm/s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且持续时间超过30min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42797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E83E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31.5cm/s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0D3BC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42D471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2E7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CAB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1E842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10min加速度速度均方根达到50cm/s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3175E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4EC3A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19E7D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7D3BD5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7B2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295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27A79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幅值持续增大、呈现发散特征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1D4F9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40AC4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3E3AB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3B8196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AA4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403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吊索振动加速度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395E6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10min加速度速度均方根达到100cm/s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27D59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3DA3B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58E97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291BE2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EC3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386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29B01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10min加速度均方根达到300cm/s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且频繁出现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3E2CA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69FA6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300cm/s</w:t>
            </w: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38B60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06C4F4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ACF7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监测数据分析结果</w:t>
            </w: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B6EE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索力基准值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63C83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与成桥索力相比变化超过10%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5B7B2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08A1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10%原索力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6FAEF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-10%原索力</w:t>
            </w:r>
          </w:p>
        </w:tc>
      </w:tr>
      <w:tr w14:paraId="6686B9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782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333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60F0C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与成桥索力相比变化超过15%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2DDC8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3ACB3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15%原索力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2B9E4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-15%原索力</w:t>
            </w:r>
          </w:p>
        </w:tc>
      </w:tr>
      <w:tr w14:paraId="031001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B00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1658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剔除环境影响的桥梁主要频率变化</w:t>
            </w: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16D91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超过3%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416DC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75F75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3%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3C01D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-3%</w:t>
            </w:r>
          </w:p>
        </w:tc>
      </w:tr>
      <w:tr w14:paraId="1CCFA4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10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2DE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9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32B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37" w:type="dxa"/>
            <w:tcBorders>
              <w:tl2br w:val="nil"/>
              <w:tr2bl w:val="nil"/>
            </w:tcBorders>
            <w:noWrap w:val="0"/>
            <w:vAlign w:val="center"/>
          </w:tcPr>
          <w:p w14:paraId="79FA8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超过5%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noWrap w:val="0"/>
            <w:vAlign w:val="center"/>
          </w:tcPr>
          <w:p w14:paraId="6A62E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59089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1383" w:type="dxa"/>
            <w:tcBorders>
              <w:tl2br w:val="nil"/>
              <w:tr2bl w:val="nil"/>
            </w:tcBorders>
            <w:noWrap w:val="0"/>
            <w:vAlign w:val="center"/>
          </w:tcPr>
          <w:p w14:paraId="73146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-5%</w:t>
            </w:r>
          </w:p>
        </w:tc>
      </w:tr>
    </w:tbl>
    <w:p w14:paraId="1CBF4915">
      <w:pPr>
        <w:pStyle w:val="60"/>
        <w:jc w:val="center"/>
        <w:rPr>
          <w:rFonts w:hint="eastAsia"/>
          <w:highlight w:val="none"/>
          <w:lang w:eastAsia="zh-CN"/>
        </w:rPr>
      </w:pPr>
    </w:p>
    <w:p w14:paraId="73A7A1F9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bookmarkStart w:id="73" w:name="_Ref13312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2</w:t>
      </w:r>
      <w:r>
        <w:rPr>
          <w:highlight w:val="none"/>
        </w:rPr>
        <w:fldChar w:fldCharType="end"/>
      </w:r>
      <w:bookmarkEnd w:id="73"/>
      <w:r>
        <w:rPr>
          <w:highlight w:val="none"/>
        </w:rPr>
        <w:t xml:space="preserve"> 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各截面应变预警值</w:t>
      </w:r>
    </w:p>
    <w:tbl>
      <w:tblPr>
        <w:tblStyle w:val="30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546"/>
        <w:gridCol w:w="1565"/>
        <w:gridCol w:w="1177"/>
        <w:gridCol w:w="1147"/>
      </w:tblGrid>
      <w:tr w14:paraId="5F7E8E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tblHeader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EE3415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截面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327C29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截面位置</w:t>
            </w:r>
          </w:p>
        </w:tc>
        <w:tc>
          <w:tcPr>
            <w:tcW w:w="156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0814CD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测点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编号</w:t>
            </w:r>
          </w:p>
        </w:tc>
        <w:tc>
          <w:tcPr>
            <w:tcW w:w="232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81BBFC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最不利工况计算值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（</w:t>
            </w:r>
            <w:r>
              <w:rPr>
                <w:rStyle w:val="42"/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lang w:val="en-US" w:eastAsia="zh-CN" w:bidi="ar"/>
              </w:rPr>
              <w:t>με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）</w:t>
            </w:r>
          </w:p>
        </w:tc>
      </w:tr>
      <w:tr w14:paraId="28D36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tblHeader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05188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BB319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/>
                <w:highlight w:val="none"/>
              </w:rPr>
            </w:pPr>
          </w:p>
        </w:tc>
        <w:tc>
          <w:tcPr>
            <w:tcW w:w="156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CF167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/>
                <w:highlight w:val="none"/>
              </w:rPr>
            </w:pP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0876B73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下限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1D3D34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上限</w:t>
            </w:r>
          </w:p>
        </w:tc>
      </w:tr>
      <w:tr w14:paraId="482C78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BEA603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bookmarkStart w:id="74" w:name="OLE_LINK1" w:colFirst="2" w:colLast="2"/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B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8B9171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第一跨跨中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36198E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F1A1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482C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274D0A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F23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215E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174AAC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21DF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9186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3A4E94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F8C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DE25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0F1F93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4E26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4A96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7E660F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6B42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BC0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FA1924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309B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AA93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6546AC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3AE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E39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819001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1105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-290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D80A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160 </w:t>
            </w:r>
          </w:p>
        </w:tc>
      </w:tr>
      <w:tr w14:paraId="60A69B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59C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839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EE6857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SB-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4A61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-290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DABD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160 </w:t>
            </w:r>
          </w:p>
        </w:tc>
      </w:tr>
      <w:tr w14:paraId="7A35F8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633CA6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C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21A0C3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#墩墩顶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FA3494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SC-1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664A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579C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7D44A8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FBC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7A61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9150BF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SC-2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6E3F6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BEC1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3580B6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74B9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667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B5B88C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SC-3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EA08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95B2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022385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BD49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E86B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AED287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4A40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F330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70DBDE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3F3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831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4D3296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FDC3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7C26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132 </w:t>
            </w:r>
          </w:p>
        </w:tc>
      </w:tr>
      <w:tr w14:paraId="404D9D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876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32A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59EAF8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3EF5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DBF3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132 </w:t>
            </w:r>
          </w:p>
        </w:tc>
      </w:tr>
      <w:tr w14:paraId="69EC3D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545450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D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A1FCAA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第二跨跨中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68EC94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E740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8129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554573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D1D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E11C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253BF1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21CF7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E4AB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40110C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C5A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279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1DC7AD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228EC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6853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62CAF9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7F86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683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774B15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5199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207FA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1A3F27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0E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A05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F29FC8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0BF2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-121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5245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408 </w:t>
            </w:r>
          </w:p>
        </w:tc>
      </w:tr>
      <w:tr w14:paraId="58C29A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694D8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0CE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1EB61B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SD-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546F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-121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1043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408 </w:t>
            </w:r>
          </w:p>
        </w:tc>
      </w:tr>
      <w:tr w14:paraId="4ABEEC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08D825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E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53B7F3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#墩墩顶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BAB43F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4991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865A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468F54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386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077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0E5CB3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60BA1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4A82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4782DB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56B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7B2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D88ABF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A7A7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6284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1A871E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E78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A66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5C8208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EEE6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5F7E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28FA54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ACB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347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CE1D0B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5596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-247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0A6B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4C5C51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EDF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512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F5F874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SE-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09513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-247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CBE1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223 </w:t>
            </w:r>
          </w:p>
        </w:tc>
      </w:tr>
      <w:tr w14:paraId="3E68E0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47DF93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511804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第三跨跨中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927F5C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6BD1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DE9A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0EB74A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419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660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6DFB53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EBC7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0477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3E6C76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862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4B4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B189E9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E022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43ED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1C1D5E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532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9A6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F5C319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8AE1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D720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142 </w:t>
            </w:r>
          </w:p>
        </w:tc>
      </w:tr>
      <w:tr w14:paraId="5BA0FD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26E1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FDE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E21986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7162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-121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B5B1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408 </w:t>
            </w:r>
          </w:p>
        </w:tc>
      </w:tr>
      <w:tr w14:paraId="4CFAB3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E76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D72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AD8339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8D70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-121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00D5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408 </w:t>
            </w:r>
          </w:p>
        </w:tc>
      </w:tr>
      <w:tr w14:paraId="41CDFA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CC85CB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5C5A4F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14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#墩墩顶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9FAA72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1F52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A069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381FA9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66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C0F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EBD2C1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01810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487B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14637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30E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C71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C69CE6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BE96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BF05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6202A3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61C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6E46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73E67F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959B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-188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21D19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97 </w:t>
            </w:r>
          </w:p>
        </w:tc>
      </w:tr>
      <w:tr w14:paraId="6A8304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B3A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BC4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83A064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7A22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6C1A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132 </w:t>
            </w:r>
          </w:p>
        </w:tc>
      </w:tr>
      <w:tr w14:paraId="321514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08DA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4E9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752F95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4F08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6720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132 </w:t>
            </w:r>
          </w:p>
        </w:tc>
      </w:tr>
      <w:tr w14:paraId="42FF62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549F41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A3B09E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第四跨跨中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0ACC79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95B8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3098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50844A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E11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41F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523CA1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2C24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FBFF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6E3CFB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F3F5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626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3065A4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4CA8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C73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3CFD73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4302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224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B5CC16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2B1F8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-170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DB51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338 </w:t>
            </w:r>
          </w:p>
        </w:tc>
      </w:tr>
      <w:tr w14:paraId="0961A3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40A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092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240719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01A7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-290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7307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160 </w:t>
            </w:r>
          </w:p>
        </w:tc>
      </w:tr>
      <w:tr w14:paraId="154610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7F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1AF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62F7CE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A2AC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-290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D381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160 </w:t>
            </w:r>
          </w:p>
        </w:tc>
      </w:tr>
      <w:tr w14:paraId="15AC49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E7A3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楷体_GB2312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A391F4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上游侧塔中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C868E5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C476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10C9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66 </w:t>
            </w:r>
          </w:p>
        </w:tc>
      </w:tr>
      <w:tr w14:paraId="39F43A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EA82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F41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CAAA2C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BEA0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BAA9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56 </w:t>
            </w:r>
          </w:p>
        </w:tc>
      </w:tr>
      <w:tr w14:paraId="62B97D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F34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03D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F51083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1874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0D7E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98 </w:t>
            </w:r>
          </w:p>
        </w:tc>
      </w:tr>
      <w:tr w14:paraId="515D6D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FC5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B20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0A3412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26C1E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2ACE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108 </w:t>
            </w:r>
          </w:p>
        </w:tc>
      </w:tr>
      <w:tr w14:paraId="7B04BF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452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A7F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503E1D9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40A1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9644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98 </w:t>
            </w:r>
          </w:p>
        </w:tc>
      </w:tr>
      <w:tr w14:paraId="1B69C2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DDA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C67F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下游侧塔中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9C976C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0AB09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F17C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66 </w:t>
            </w:r>
          </w:p>
        </w:tc>
      </w:tr>
      <w:tr w14:paraId="44CE7E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EE7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BCB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E7F0CD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7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0E74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55B9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56 </w:t>
            </w:r>
          </w:p>
        </w:tc>
      </w:tr>
      <w:tr w14:paraId="2ADFF2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28B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3B5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5459B3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8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7DB59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75DA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98 </w:t>
            </w:r>
          </w:p>
        </w:tc>
      </w:tr>
      <w:tr w14:paraId="75FC69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B907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9F0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17FAB6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D282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91D4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108 </w:t>
            </w:r>
          </w:p>
        </w:tc>
      </w:tr>
      <w:tr w14:paraId="2AC401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5C6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314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296135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3A10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-204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C4BF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98 </w:t>
            </w:r>
          </w:p>
        </w:tc>
      </w:tr>
      <w:tr w14:paraId="7DC0B9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A283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楷体_GB2312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K</w:t>
            </w: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F6CCD3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上游侧塔底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0513807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DBD4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commentRangeStart w:id="0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55 </w:t>
            </w:r>
            <w:commentRangeEnd w:id="0"/>
            <w:r>
              <w:rPr>
                <w:rFonts w:hint="default"/>
              </w:rPr>
              <w:commentReference w:id="0"/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083C1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57883C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639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A21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E1A77B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FEFB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47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2E96A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54C627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46A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3214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050274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-3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3EA7F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46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21AA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735C0F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B2F0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2BA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18C02EB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562C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7B315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636D23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B22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1E6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3F8C3F5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AB51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69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46368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46F4DF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AD7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7ED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88EA9F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4E7ED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7C20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2593C8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726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B14E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下游侧塔底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2AA3E9A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7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586F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55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C684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7A6EC7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02C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649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DDC5D0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8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F18A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47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3B9C7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4FDAB7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0473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ADC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4D29AE3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149AD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46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24E7E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2E0353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935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188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6E4EF4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1AAB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61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542E1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56F4A1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C62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21A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74DD060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11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2BF40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69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1BEB1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tr w14:paraId="6432A9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2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C68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4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4B7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楷体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 w14:paraId="6D72866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12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1177" w:type="dxa"/>
            <w:tcBorders>
              <w:tl2br w:val="nil"/>
              <w:tr2bl w:val="nil"/>
            </w:tcBorders>
            <w:noWrap w:val="0"/>
            <w:vAlign w:val="center"/>
          </w:tcPr>
          <w:p w14:paraId="5D73B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62 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noWrap w:val="0"/>
            <w:vAlign w:val="center"/>
          </w:tcPr>
          <w:p w14:paraId="6399B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-204 </w:t>
            </w:r>
          </w:p>
        </w:tc>
      </w:tr>
      <w:bookmarkEnd w:id="74"/>
    </w:tbl>
    <w:p w14:paraId="2D140592">
      <w:pPr>
        <w:pStyle w:val="60"/>
        <w:jc w:val="center"/>
        <w:rPr>
          <w:rFonts w:hint="eastAsia"/>
          <w:highlight w:val="none"/>
          <w:lang w:eastAsia="zh-CN"/>
        </w:rPr>
      </w:pPr>
    </w:p>
    <w:p w14:paraId="071BF34C">
      <w:pPr>
        <w:pStyle w:val="2"/>
        <w:rPr>
          <w:rFonts w:hint="default"/>
          <w:highlight w:val="none"/>
        </w:rPr>
      </w:pPr>
    </w:p>
    <w:p w14:paraId="26ABC93E">
      <w:pPr>
        <w:pStyle w:val="2"/>
        <w:rPr>
          <w:rFonts w:hint="default"/>
          <w:highlight w:val="none"/>
        </w:rPr>
        <w:sectPr>
          <w:pgSz w:w="11906" w:h="16838"/>
          <w:pgMar w:top="567" w:right="964" w:bottom="964" w:left="1701" w:header="567" w:footer="45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AndChars" w:linePitch="312" w:charSpace="0"/>
        </w:sectPr>
      </w:pPr>
    </w:p>
    <w:p w14:paraId="47F24875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kern w:val="0"/>
          <w:sz w:val="24"/>
          <w:szCs w:val="24"/>
          <w:highlight w:val="none"/>
        </w:rPr>
      </w:pPr>
      <w:r>
        <w:rPr>
          <w:rFonts w:hint="eastAsia" w:cs="Times New Roman"/>
          <w:kern w:val="0"/>
          <w:sz w:val="24"/>
          <w:szCs w:val="24"/>
          <w:highlight w:val="none"/>
          <w:lang w:val="en-US" w:eastAsia="zh-CN"/>
        </w:rPr>
        <w:t xml:space="preserve"> </w:t>
      </w:r>
      <w:bookmarkStart w:id="75" w:name="_Toc2689"/>
      <w:bookmarkStart w:id="76" w:name="_Toc6909"/>
      <w:r>
        <w:rPr>
          <w:rFonts w:hint="eastAsia" w:cs="Times New Roman"/>
          <w:kern w:val="0"/>
          <w:sz w:val="24"/>
          <w:szCs w:val="24"/>
          <w:highlight w:val="none"/>
          <w:lang w:eastAsia="zh-CN"/>
        </w:rPr>
        <w:t>监测结果</w:t>
      </w:r>
      <w:bookmarkEnd w:id="75"/>
      <w:bookmarkEnd w:id="76"/>
    </w:p>
    <w:p w14:paraId="00967D54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77" w:name="_Toc24327"/>
      <w:bookmarkStart w:id="78" w:name="_Toc9585"/>
      <w:r>
        <w:rPr>
          <w:rFonts w:hint="eastAsia" w:cs="Times New Roman"/>
          <w:sz w:val="24"/>
          <w:szCs w:val="24"/>
          <w:highlight w:val="none"/>
          <w:lang w:eastAsia="zh-CN"/>
        </w:rPr>
        <w:t>主梁线形</w:t>
      </w:r>
      <w:bookmarkEnd w:id="77"/>
      <w:bookmarkEnd w:id="78"/>
    </w:p>
    <w:p w14:paraId="27D774DF">
      <w:pPr>
        <w:pStyle w:val="60"/>
        <w:rPr>
          <w:rFonts w:hint="eastAsia"/>
          <w:highlight w:val="none"/>
        </w:rPr>
      </w:pPr>
      <w:r>
        <w:rPr>
          <w:rFonts w:hint="eastAsia"/>
          <w:highlight w:val="none"/>
        </w:rPr>
        <w:t>主梁桥面线形</w:t>
      </w:r>
      <w:r>
        <w:rPr>
          <w:rFonts w:hint="eastAsia"/>
          <w:highlight w:val="none"/>
          <w:lang w:eastAsia="zh-CN"/>
        </w:rPr>
        <w:t>测试期间气温</w:t>
      </w:r>
      <w:r>
        <w:rPr>
          <w:rFonts w:hint="eastAsia"/>
          <w:highlight w:val="none"/>
          <w:lang w:val="en-US" w:eastAsia="zh-CN"/>
        </w:rPr>
        <w:t>为16℃，</w:t>
      </w:r>
      <w:r>
        <w:rPr>
          <w:rFonts w:hint="eastAsia"/>
          <w:highlight w:val="none"/>
        </w:rPr>
        <w:t>监测结果如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_Ref3337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-1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所示，实测桥面线形如</w:t>
      </w:r>
      <w:r>
        <w:rPr>
          <w:rFonts w:hint="eastAsia"/>
          <w:highlight w:val="none"/>
          <w:lang w:eastAsia="zh-CN"/>
        </w:rPr>
        <w:t>图</w:t>
      </w:r>
      <w:r>
        <w:rPr>
          <w:rFonts w:hint="eastAsia"/>
          <w:highlight w:val="none"/>
          <w:lang w:val="en-US" w:eastAsia="zh-CN"/>
        </w:rPr>
        <w:t>3-1</w:t>
      </w:r>
      <w:r>
        <w:rPr>
          <w:rFonts w:hint="eastAsia"/>
          <w:highlight w:val="none"/>
        </w:rPr>
        <w:t>所示。监测结果表明，在本期观测时间段内，</w:t>
      </w:r>
      <w:r>
        <w:rPr>
          <w:rFonts w:hint="eastAsia"/>
          <w:highlight w:val="none"/>
          <w:lang w:val="en-US" w:eastAsia="zh-CN"/>
        </w:rPr>
        <w:t>1#测点</w:t>
      </w:r>
      <w:r>
        <w:rPr>
          <w:rFonts w:hint="eastAsia"/>
          <w:highlight w:val="none"/>
        </w:rPr>
        <w:t>高程累计变化范围在</w:t>
      </w:r>
      <w:r>
        <w:rPr>
          <w:rFonts w:hint="eastAsia"/>
          <w:highlight w:val="none"/>
          <w:lang w:val="en-US" w:eastAsia="zh-CN"/>
        </w:rPr>
        <w:t>-15.3</w:t>
      </w:r>
      <w:r>
        <w:rPr>
          <w:rFonts w:hint="eastAsia"/>
          <w:highlight w:val="none"/>
        </w:rPr>
        <w:t>m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</w:rPr>
        <w:t>~</w:t>
      </w:r>
      <w:r>
        <w:rPr>
          <w:rFonts w:hint="eastAsia"/>
          <w:highlight w:val="none"/>
          <w:lang w:val="en-US" w:eastAsia="zh-CN"/>
        </w:rPr>
        <w:t>12.6m</w:t>
      </w:r>
      <w:r>
        <w:rPr>
          <w:rFonts w:hint="eastAsia"/>
          <w:highlight w:val="none"/>
        </w:rPr>
        <w:t>m之间，</w:t>
      </w:r>
      <w:r>
        <w:rPr>
          <w:rFonts w:hint="eastAsia"/>
          <w:highlight w:val="none"/>
          <w:lang w:val="en-US" w:eastAsia="zh-CN"/>
        </w:rPr>
        <w:t>2#测点</w:t>
      </w:r>
      <w:r>
        <w:rPr>
          <w:rFonts w:hint="eastAsia"/>
          <w:highlight w:val="none"/>
        </w:rPr>
        <w:t>高程累计变化范围在</w:t>
      </w:r>
      <w:r>
        <w:rPr>
          <w:rFonts w:hint="eastAsia"/>
          <w:highlight w:val="none"/>
          <w:lang w:val="en-US" w:eastAsia="zh-CN"/>
        </w:rPr>
        <w:t>-12.6</w:t>
      </w:r>
      <w:r>
        <w:rPr>
          <w:rFonts w:hint="eastAsia"/>
          <w:highlight w:val="none"/>
        </w:rPr>
        <w:t>m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</w:rPr>
        <w:t>~</w:t>
      </w:r>
      <w:r>
        <w:rPr>
          <w:rFonts w:hint="eastAsia"/>
          <w:highlight w:val="none"/>
          <w:lang w:val="en-US" w:eastAsia="zh-CN"/>
        </w:rPr>
        <w:t>6.9m</w:t>
      </w:r>
      <w:r>
        <w:rPr>
          <w:rFonts w:hint="eastAsia"/>
          <w:highlight w:val="none"/>
        </w:rPr>
        <w:t>m之间，</w:t>
      </w:r>
      <w:r>
        <w:rPr>
          <w:rFonts w:hint="eastAsia"/>
          <w:highlight w:val="none"/>
          <w:lang w:val="en-US" w:eastAsia="zh-CN"/>
        </w:rPr>
        <w:t>3#测点</w:t>
      </w:r>
      <w:r>
        <w:rPr>
          <w:rFonts w:hint="eastAsia"/>
          <w:highlight w:val="none"/>
        </w:rPr>
        <w:t>高程累计变化范围在-</w:t>
      </w:r>
      <w:r>
        <w:rPr>
          <w:rFonts w:hint="eastAsia"/>
          <w:highlight w:val="none"/>
          <w:lang w:val="en-US" w:eastAsia="zh-CN"/>
        </w:rPr>
        <w:t>8.8</w:t>
      </w:r>
      <w:r>
        <w:rPr>
          <w:rFonts w:hint="eastAsia"/>
          <w:highlight w:val="none"/>
        </w:rPr>
        <w:t>m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</w:rPr>
        <w:t>~</w:t>
      </w:r>
      <w:r>
        <w:rPr>
          <w:rFonts w:hint="eastAsia"/>
          <w:highlight w:val="none"/>
          <w:lang w:val="en-US" w:eastAsia="zh-CN"/>
        </w:rPr>
        <w:t>9.7m</w:t>
      </w:r>
      <w:r>
        <w:rPr>
          <w:rFonts w:hint="eastAsia"/>
          <w:highlight w:val="none"/>
        </w:rPr>
        <w:t>m之间，桥面线形未见明显变化。</w:t>
      </w:r>
    </w:p>
    <w:p w14:paraId="2D7079C9">
      <w:pPr>
        <w:snapToGrid/>
        <w:spacing w:before="60"/>
        <w:ind w:firstLine="0" w:firstLineChars="0"/>
        <w:jc w:val="center"/>
        <w:rPr>
          <w:rFonts w:hint="eastAsia"/>
          <w:highlight w:val="none"/>
          <w:lang w:eastAsia="zh-CN"/>
        </w:rPr>
      </w:pPr>
      <w:bookmarkStart w:id="79" w:name="_Ref3337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bookmarkEnd w:id="79"/>
      <w:r>
        <w:rPr>
          <w:highlight w:val="none"/>
        </w:rPr>
        <w:t xml:space="preserve"> </w:t>
      </w:r>
      <w:r>
        <w:rPr>
          <w:rFonts w:hint="eastAsia"/>
          <w:highlight w:val="none"/>
        </w:rPr>
        <w:t>桥面线形</w:t>
      </w:r>
      <w:r>
        <w:rPr>
          <w:highlight w:val="none"/>
        </w:rPr>
        <w:t>监测结果汇总表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2" w:space="0"/>
          <w:insideV w:val="single" w:color="000000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079"/>
        <w:gridCol w:w="1350"/>
        <w:gridCol w:w="1079"/>
        <w:gridCol w:w="1366"/>
        <w:gridCol w:w="1035"/>
        <w:gridCol w:w="1440"/>
      </w:tblGrid>
      <w:tr w14:paraId="2A4C63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5A3A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里程</w:t>
            </w:r>
          </w:p>
          <w:p w14:paraId="605F8F3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</w:rPr>
            </w:pPr>
            <w:r>
              <w:rPr>
                <w:rFonts w:hint="eastAsia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（m）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53C1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1#测点</w:t>
            </w:r>
          </w:p>
          <w:p w14:paraId="0E644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高程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937E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累计变化量（mm）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56E1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/>
                <w:b/>
                <w:bCs/>
                <w:highlight w:val="none"/>
                <w:lang w:val="en-US" w:eastAsia="zh-CN"/>
              </w:rPr>
              <w:t>2#测点</w:t>
            </w:r>
          </w:p>
          <w:p w14:paraId="18B5DBCC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高程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6F387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累计变化量（mm）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362E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/>
                <w:b/>
                <w:bCs/>
                <w:highlight w:val="none"/>
                <w:lang w:val="en-US" w:eastAsia="zh-CN"/>
              </w:rPr>
              <w:t>3#测点</w:t>
            </w:r>
          </w:p>
          <w:p w14:paraId="6053D7E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高程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2B9E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累计变化量（mm）</w:t>
            </w:r>
          </w:p>
        </w:tc>
      </w:tr>
      <w:tr w14:paraId="5F96B5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B87D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bookmarkStart w:id="80" w:name="OLE_LINK4" w:colFirst="1" w:colLast="1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0(11#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墩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98F2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0.0251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8841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0666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0.5237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43B7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-1.2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B3A2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0.0261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17693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-3.1 </w:t>
            </w:r>
          </w:p>
        </w:tc>
      </w:tr>
      <w:tr w14:paraId="1E34FE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7C510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F7B7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0.0448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3111B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-0.9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EEE3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0.5435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4E8B5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5F090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0.0585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1604F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2.6 </w:t>
            </w:r>
          </w:p>
        </w:tc>
      </w:tr>
      <w:tr w14:paraId="4A1C95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BEEA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2B6A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0.1024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76EA5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8.4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7F48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0.5948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49A0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3.5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7C3E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0.1197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3EBDA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4.9 </w:t>
            </w:r>
          </w:p>
        </w:tc>
      </w:tr>
      <w:tr w14:paraId="5F8D9B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F8A1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89C0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0.1522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44D8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12.3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A7FC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0.6514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694C5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-1.3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9CA5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0.1733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6717E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4.3 </w:t>
            </w:r>
          </w:p>
        </w:tc>
      </w:tr>
      <w:tr w14:paraId="0A3D14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4C0C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C963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0.1902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685D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519E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0.7361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62F22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6.9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82D0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0.2105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F627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2.1 </w:t>
            </w:r>
          </w:p>
        </w:tc>
      </w:tr>
      <w:tr w14:paraId="298C0B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0F4C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12#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墩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E4D7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0.2308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737F4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497E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0.7594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7FE7D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-3.7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484CA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0.2397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A40C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-7.0 </w:t>
            </w:r>
          </w:p>
        </w:tc>
      </w:tr>
      <w:tr w14:paraId="001759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466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3918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0.3006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5E4C1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-11.1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6A3F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0.8458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7606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6.6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6B40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0.2983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9E63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-4.1 </w:t>
            </w:r>
          </w:p>
        </w:tc>
      </w:tr>
      <w:tr w14:paraId="22F202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24B74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9AA7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0.3781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343C9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-8.0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7B76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0.9029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4D2DA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-2.3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2CD6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0.3833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7AAA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-6.2 </w:t>
            </w:r>
          </w:p>
        </w:tc>
      </w:tr>
      <w:tr w14:paraId="2A1AD0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69EE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700E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0.4537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559F5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-13.8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4AED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0.9846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1BDF6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2.8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C8EB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0.4822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7F49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5.9 </w:t>
            </w:r>
          </w:p>
        </w:tc>
      </w:tr>
      <w:tr w14:paraId="690CA2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E405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185A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0.5427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F3D7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1D01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1.0692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43E3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-1.0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6D360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0.5745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66FC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-2.6 </w:t>
            </w:r>
          </w:p>
        </w:tc>
      </w:tr>
      <w:tr w14:paraId="1B0E53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510BC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73C0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0.6306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0A0D9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F4BB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1.1422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5391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45EFD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0.6620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1D412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-2.9 </w:t>
            </w:r>
          </w:p>
        </w:tc>
      </w:tr>
      <w:tr w14:paraId="617462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9C7F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CB95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0.7186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52878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-5.9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DD03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1.2176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AF8C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-7.5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4B987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0.7352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6039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-5.2 </w:t>
            </w:r>
          </w:p>
        </w:tc>
      </w:tr>
      <w:tr w14:paraId="38F5E6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2745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120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E3C0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0.7881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48291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2EC5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1.2742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7827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-11.0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50390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0.7934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0F5C8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1.5 </w:t>
            </w:r>
          </w:p>
        </w:tc>
      </w:tr>
      <w:tr w14:paraId="1FD2F2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5811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E381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0.8321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57DA6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-8.5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0187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1.3315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8D9C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2D4BC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0.8397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AB19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-4.5 </w:t>
            </w:r>
          </w:p>
        </w:tc>
      </w:tr>
      <w:tr w14:paraId="0E49B3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BC49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B9F4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0.8602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7528A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-7.4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2F5D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1.3446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5DB8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-0.9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68C88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0.8799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5F73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1.0 </w:t>
            </w:r>
          </w:p>
        </w:tc>
      </w:tr>
      <w:tr w14:paraId="494EBC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F2FE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2B01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0.8733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B564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DAFD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1.3288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65C2B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-2.3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49CF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0.8881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02658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-2.3 </w:t>
            </w:r>
          </w:p>
        </w:tc>
      </w:tr>
      <w:tr w14:paraId="47405A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95E6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160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6AF8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0.8764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E009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-7.0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E3B2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1.3499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8B3D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3.5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11EE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0.8970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0C50D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6.3 </w:t>
            </w:r>
          </w:p>
        </w:tc>
      </w:tr>
      <w:tr w14:paraId="638A7A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2F95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170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3322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0.8602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3C27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0776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1.3485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C58F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-5.3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2FD1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0.8803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72FA7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6.7 </w:t>
            </w:r>
          </w:p>
        </w:tc>
      </w:tr>
      <w:tr w14:paraId="5B0237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2442C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180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B214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0.8495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488A0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12.6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03CC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1.3238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65FB3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-5.6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5A12B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0.8312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C9A0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-6.5 </w:t>
            </w:r>
          </w:p>
        </w:tc>
      </w:tr>
      <w:tr w14:paraId="037340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3A361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9ED1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0.8175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3BAD0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8AC7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1.2990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11016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-5.9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0269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0.7980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B14F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-4.8 </w:t>
            </w:r>
          </w:p>
        </w:tc>
      </w:tr>
      <w:tr w14:paraId="7A7E8E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566A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200(13#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墩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C271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0.7968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36811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-8.9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DC11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1.3058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CC9C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6.4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5A69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0.7968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108CE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1.0 </w:t>
            </w:r>
          </w:p>
        </w:tc>
      </w:tr>
      <w:tr w14:paraId="3D2038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A879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210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77CC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0.8165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26690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B11E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1.3044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B0F9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-5.6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58739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0.8002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DB34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-6.1 </w:t>
            </w:r>
          </w:p>
        </w:tc>
      </w:tr>
      <w:tr w14:paraId="1F49FE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F93F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220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8504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0.8478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061ED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-15.3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5C41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1.2911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1CDB8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-2.4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5416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0.8467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7CAE3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-8.2 </w:t>
            </w:r>
          </w:p>
        </w:tc>
      </w:tr>
      <w:tr w14:paraId="673DBE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7622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230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C6ED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0.8647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0ABF0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7.1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0DFC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1.3123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71E10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-5.0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F723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0.8746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E155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3.6 </w:t>
            </w:r>
          </w:p>
        </w:tc>
      </w:tr>
      <w:tr w14:paraId="6DB414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3A9C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D439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0.8779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30EB8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7.9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AFD7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1.3369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44605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2C851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0.8859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C639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-1.4 </w:t>
            </w:r>
          </w:p>
        </w:tc>
      </w:tr>
      <w:tr w14:paraId="409FBB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2554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250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B29D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0.8651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9E94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3EC4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1.3220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1EA8C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-0.8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6B91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0.8750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17531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4.0 </w:t>
            </w:r>
          </w:p>
        </w:tc>
      </w:tr>
      <w:tr w14:paraId="04D84E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028F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260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B692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0.8543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8A30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-10.1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28A9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1.2987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AC59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-11.0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02725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0.8547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97C4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 </w:t>
            </w:r>
          </w:p>
        </w:tc>
      </w:tr>
      <w:tr w14:paraId="6CAA1E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538B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270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E707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0.8279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0FE0C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-11.2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A781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1.2868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6707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-8.0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1291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0.8214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64AC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-5.4 </w:t>
            </w:r>
          </w:p>
        </w:tc>
      </w:tr>
      <w:tr w14:paraId="378428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2BDE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280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91E3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0.7800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2E3E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019C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1.2703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4A7E3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37A7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0.7792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59EA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-2.6 </w:t>
            </w:r>
          </w:p>
        </w:tc>
      </w:tr>
      <w:tr w14:paraId="63AAB9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76EAE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290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1484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0.7130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28AE4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-6.7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F633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1.1999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7511D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-3.8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4732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0.7003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0BC9E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-8.8 </w:t>
            </w:r>
          </w:p>
        </w:tc>
      </w:tr>
      <w:tr w14:paraId="073D71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A426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C274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0.6398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4CB3D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-6.8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8EAA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1.1276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5BE7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-4.7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2FCC2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0.6370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D3B8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-1.4 </w:t>
            </w:r>
          </w:p>
        </w:tc>
      </w:tr>
      <w:tr w14:paraId="369807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C61C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310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0F16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0.5577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5D133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-10.3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FAD6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1.0770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F5ED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-2.5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5803C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0.5537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3958D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-4.3 </w:t>
            </w:r>
          </w:p>
        </w:tc>
      </w:tr>
      <w:tr w14:paraId="167B42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78E6A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320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9225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0.4930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714BA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-6.8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F7B3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0.9852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7A694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-2.7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AF94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0.4754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3CA5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-5.3 </w:t>
            </w:r>
          </w:p>
        </w:tc>
      </w:tr>
      <w:tr w14:paraId="15F480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8C8C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330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597EE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0.3945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432A9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-8.2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FC98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0.8981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17561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-12.6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C14E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0.3986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3DA20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-1.9 </w:t>
            </w:r>
          </w:p>
        </w:tc>
      </w:tr>
      <w:tr w14:paraId="696D9E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183BC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340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FEE4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0.3065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0E3C0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-1.6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57E9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0.8441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FD6A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-2.4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A155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0.3293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006C3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-4.9 </w:t>
            </w:r>
          </w:p>
        </w:tc>
      </w:tr>
      <w:tr w14:paraId="0963A0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599AC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350(14#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墩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140B8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0.2474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C222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-9.1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6620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0.7677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43E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-8.1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37F6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0.2569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64845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9.7 </w:t>
            </w:r>
          </w:p>
        </w:tc>
      </w:tr>
      <w:tr w14:paraId="3F87DC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665F9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360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3A27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0.1980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10A4F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-0.4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6299E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0.7377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3542A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-0.3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4C6E3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0.2004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68F3D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-0.3 </w:t>
            </w:r>
          </w:p>
        </w:tc>
      </w:tr>
      <w:tr w14:paraId="499D07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4BBFC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370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424BA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0.1573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4A101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-2.2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857C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0.6812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79845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4.7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F5FD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0.1502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35134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9.6 </w:t>
            </w:r>
          </w:p>
        </w:tc>
      </w:tr>
      <w:tr w14:paraId="375B07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0BB67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380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5E37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0.1045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D3DF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-3.7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E04D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0.6085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2B27B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-3.1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366F8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0.1081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6F3BC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-2.5 </w:t>
            </w:r>
          </w:p>
        </w:tc>
      </w:tr>
      <w:tr w14:paraId="207617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29041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390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70D6A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0.0307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6158B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-11.0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37D10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0.5628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44C75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0.8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18463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0.0593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4D06F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-5.5 </w:t>
            </w:r>
          </w:p>
        </w:tc>
      </w:tr>
      <w:tr w14:paraId="7C0F33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  <w:jc w:val="center"/>
        </w:trPr>
        <w:tc>
          <w:tcPr>
            <w:tcW w:w="1260" w:type="dxa"/>
            <w:tcBorders>
              <w:tl2br w:val="nil"/>
              <w:tr2bl w:val="nil"/>
            </w:tcBorders>
            <w:noWrap w:val="0"/>
            <w:vAlign w:val="center"/>
          </w:tcPr>
          <w:p w14:paraId="3B6CB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400(15#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墩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048A4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0.0224 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noWrap w:val="0"/>
            <w:vAlign w:val="center"/>
          </w:tcPr>
          <w:p w14:paraId="2476C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4.9 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noWrap w:val="0"/>
            <w:vAlign w:val="center"/>
          </w:tcPr>
          <w:p w14:paraId="2986F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0.5199 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noWrap w:val="0"/>
            <w:vAlign w:val="center"/>
          </w:tcPr>
          <w:p w14:paraId="02154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-5.7 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noWrap w:val="0"/>
            <w:vAlign w:val="center"/>
          </w:tcPr>
          <w:p w14:paraId="71684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0.0228 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36A1F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-7.7 </w:t>
            </w:r>
          </w:p>
        </w:tc>
      </w:tr>
      <w:bookmarkEnd w:id="80"/>
    </w:tbl>
    <w:p w14:paraId="4519EF91">
      <w:pPr>
        <w:pStyle w:val="61"/>
        <w:bidi w:val="0"/>
        <w:rPr>
          <w:rFonts w:hint="eastAsia" w:eastAsia="楷体_GB2312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866765" cy="1771015"/>
            <wp:effectExtent l="0" t="0" r="635" b="12065"/>
            <wp:docPr id="2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0242">
      <w:pPr>
        <w:pStyle w:val="61"/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</w:rPr>
        <w:t xml:space="preserve">图 </w:t>
      </w:r>
      <w:r>
        <w:rPr>
          <w:rFonts w:hint="default"/>
          <w:highlight w:val="none"/>
        </w:rPr>
        <w:fldChar w:fldCharType="begin"/>
      </w:r>
      <w:r>
        <w:rPr>
          <w:rFonts w:hint="default"/>
          <w:highlight w:val="none"/>
        </w:rPr>
        <w:instrText xml:space="preserve"> STYLEREF 1 \s </w:instrText>
      </w:r>
      <w:r>
        <w:rPr>
          <w:rFonts w:hint="default"/>
          <w:highlight w:val="none"/>
        </w:rPr>
        <w:fldChar w:fldCharType="separate"/>
      </w:r>
      <w:r>
        <w:rPr>
          <w:rFonts w:hint="default"/>
          <w:highlight w:val="none"/>
        </w:rPr>
        <w:t>4</w:t>
      </w:r>
      <w:r>
        <w:rPr>
          <w:rFonts w:hint="default"/>
          <w:highlight w:val="none"/>
        </w:rPr>
        <w:fldChar w:fldCharType="end"/>
      </w:r>
      <w:r>
        <w:rPr>
          <w:rFonts w:hint="default"/>
          <w:highlight w:val="none"/>
        </w:rPr>
        <w:t>-</w:t>
      </w:r>
      <w:r>
        <w:rPr>
          <w:rFonts w:hint="default"/>
          <w:highlight w:val="none"/>
        </w:rPr>
        <w:fldChar w:fldCharType="begin"/>
      </w:r>
      <w:r>
        <w:rPr>
          <w:rFonts w:hint="default"/>
          <w:highlight w:val="none"/>
        </w:rPr>
        <w:instrText xml:space="preserve"> SEQ 图 \* ARABIC \s 1 </w:instrText>
      </w:r>
      <w:r>
        <w:rPr>
          <w:rFonts w:hint="default"/>
          <w:highlight w:val="none"/>
        </w:rPr>
        <w:fldChar w:fldCharType="separate"/>
      </w:r>
      <w:r>
        <w:rPr>
          <w:rFonts w:hint="default"/>
          <w:highlight w:val="none"/>
        </w:rPr>
        <w:t>1</w:t>
      </w:r>
      <w:r>
        <w:rPr>
          <w:rFonts w:hint="default"/>
          <w:highlight w:val="none"/>
        </w:rPr>
        <w:fldChar w:fldCharType="end"/>
      </w:r>
      <w:r>
        <w:rPr>
          <w:rFonts w:hint="default"/>
          <w:highlight w:val="none"/>
        </w:rPr>
        <w:t xml:space="preserve"> </w:t>
      </w:r>
      <w:r>
        <w:rPr>
          <w:rFonts w:hint="eastAsia"/>
          <w:highlight w:val="none"/>
          <w:lang w:eastAsia="zh-CN"/>
        </w:rPr>
        <w:t>实测桥面</w:t>
      </w:r>
      <w:r>
        <w:rPr>
          <w:rFonts w:hint="eastAsia"/>
          <w:highlight w:val="none"/>
          <w:lang w:val="en-US" w:eastAsia="zh-CN"/>
        </w:rPr>
        <w:t>线形</w:t>
      </w:r>
    </w:p>
    <w:p w14:paraId="0428C43B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81" w:name="_Toc32512"/>
      <w:bookmarkStart w:id="82" w:name="_Toc19416"/>
      <w:r>
        <w:rPr>
          <w:rFonts w:hint="eastAsia" w:cs="Times New Roman"/>
          <w:sz w:val="24"/>
          <w:szCs w:val="24"/>
          <w:highlight w:val="none"/>
          <w:lang w:eastAsia="zh-CN"/>
        </w:rPr>
        <w:t>主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eastAsia="zh-CN"/>
        </w:rPr>
        <w:t>缆线</w:t>
      </w:r>
      <w:r>
        <w:rPr>
          <w:rFonts w:hint="eastAsia" w:cs="Times New Roman"/>
          <w:sz w:val="24"/>
          <w:szCs w:val="24"/>
          <w:highlight w:val="none"/>
          <w:lang w:eastAsia="zh-CN"/>
        </w:rPr>
        <w:t>形</w:t>
      </w:r>
      <w:bookmarkEnd w:id="81"/>
      <w:bookmarkEnd w:id="82"/>
    </w:p>
    <w:p w14:paraId="48A08E95">
      <w:pPr>
        <w:pStyle w:val="60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主缆</w:t>
      </w:r>
      <w:r>
        <w:rPr>
          <w:rFonts w:hint="eastAsia"/>
          <w:highlight w:val="none"/>
        </w:rPr>
        <w:t>线形</w:t>
      </w:r>
      <w:r>
        <w:rPr>
          <w:rFonts w:hint="eastAsia"/>
          <w:highlight w:val="none"/>
          <w:lang w:eastAsia="zh-CN"/>
        </w:rPr>
        <w:t>测试期间气温</w:t>
      </w:r>
      <w:r>
        <w:rPr>
          <w:rFonts w:hint="eastAsia"/>
          <w:highlight w:val="none"/>
          <w:lang w:val="en-US" w:eastAsia="zh-CN"/>
        </w:rPr>
        <w:t>为16℃，</w:t>
      </w:r>
      <w:r>
        <w:rPr>
          <w:rFonts w:hint="eastAsia"/>
          <w:highlight w:val="none"/>
        </w:rPr>
        <w:t>监测结果如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_Ref10827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-2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所示，实测</w:t>
      </w:r>
      <w:r>
        <w:rPr>
          <w:rFonts w:hint="eastAsia"/>
          <w:highlight w:val="none"/>
          <w:lang w:eastAsia="zh-CN"/>
        </w:rPr>
        <w:t>主缆</w:t>
      </w:r>
      <w:r>
        <w:rPr>
          <w:rFonts w:hint="eastAsia"/>
          <w:highlight w:val="none"/>
        </w:rPr>
        <w:t>线形如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_Ref689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rFonts w:hint="default"/>
          <w:highlight w:val="none"/>
        </w:rPr>
        <w:t xml:space="preserve">图 </w:t>
      </w:r>
      <w:r>
        <w:rPr>
          <w:rFonts w:hint="default"/>
          <w:highlight w:val="none"/>
        </w:rPr>
        <w:fldChar w:fldCharType="begin"/>
      </w:r>
      <w:r>
        <w:rPr>
          <w:rFonts w:hint="default"/>
          <w:highlight w:val="none"/>
        </w:rPr>
        <w:instrText xml:space="preserve"> STYLEREF 1 \s </w:instrText>
      </w:r>
      <w:r>
        <w:rPr>
          <w:rFonts w:hint="default"/>
          <w:highlight w:val="none"/>
        </w:rPr>
        <w:fldChar w:fldCharType="separate"/>
      </w:r>
      <w:r>
        <w:rPr>
          <w:rFonts w:hint="default"/>
          <w:highlight w:val="none"/>
        </w:rPr>
        <w:t>4</w:t>
      </w:r>
      <w:r>
        <w:rPr>
          <w:rFonts w:hint="default"/>
          <w:highlight w:val="none"/>
        </w:rPr>
        <w:fldChar w:fldCharType="end"/>
      </w:r>
      <w:r>
        <w:rPr>
          <w:rFonts w:hint="default"/>
          <w:highlight w:val="none"/>
        </w:rPr>
        <w:t>-2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所示。监测结果表明，在本期观测时间段内，</w:t>
      </w:r>
      <w:r>
        <w:rPr>
          <w:rFonts w:hint="eastAsia"/>
          <w:highlight w:val="none"/>
          <w:lang w:eastAsia="zh-CN"/>
        </w:rPr>
        <w:t>上游侧主缆</w:t>
      </w:r>
      <w:r>
        <w:rPr>
          <w:rFonts w:hint="eastAsia"/>
          <w:highlight w:val="none"/>
        </w:rPr>
        <w:t>高程累计变化范围在-</w:t>
      </w:r>
      <w:r>
        <w:rPr>
          <w:rFonts w:hint="eastAsia"/>
          <w:highlight w:val="none"/>
          <w:lang w:val="en-US" w:eastAsia="zh-CN"/>
        </w:rPr>
        <w:t>12.9</w:t>
      </w:r>
      <w:r>
        <w:rPr>
          <w:rFonts w:hint="eastAsia"/>
          <w:highlight w:val="none"/>
        </w:rPr>
        <w:t>mm~</w:t>
      </w:r>
      <w:r>
        <w:rPr>
          <w:rFonts w:hint="eastAsia"/>
          <w:highlight w:val="none"/>
          <w:lang w:val="en-US" w:eastAsia="zh-CN"/>
        </w:rPr>
        <w:t>12.7</w:t>
      </w:r>
      <w:r>
        <w:rPr>
          <w:rFonts w:hint="eastAsia"/>
          <w:highlight w:val="none"/>
        </w:rPr>
        <w:t>mm之间，</w:t>
      </w:r>
      <w:r>
        <w:rPr>
          <w:rFonts w:hint="eastAsia"/>
          <w:highlight w:val="none"/>
          <w:lang w:eastAsia="zh-CN"/>
        </w:rPr>
        <w:t>下游侧主缆</w:t>
      </w:r>
      <w:r>
        <w:rPr>
          <w:rFonts w:hint="eastAsia"/>
          <w:highlight w:val="none"/>
        </w:rPr>
        <w:t>高程累计变化范围在</w:t>
      </w:r>
      <w:r>
        <w:rPr>
          <w:rFonts w:hint="eastAsia"/>
          <w:highlight w:val="none"/>
          <w:lang w:val="en-US" w:eastAsia="zh-CN"/>
        </w:rPr>
        <w:t>-10.8</w:t>
      </w:r>
      <w:r>
        <w:rPr>
          <w:rFonts w:hint="eastAsia"/>
          <w:highlight w:val="none"/>
        </w:rPr>
        <w:t>mm~</w:t>
      </w:r>
      <w:r>
        <w:rPr>
          <w:rFonts w:hint="eastAsia"/>
          <w:highlight w:val="none"/>
          <w:lang w:val="en-US" w:eastAsia="zh-CN"/>
        </w:rPr>
        <w:t>10.6</w:t>
      </w:r>
      <w:r>
        <w:rPr>
          <w:rFonts w:hint="eastAsia"/>
          <w:highlight w:val="none"/>
        </w:rPr>
        <w:t>mm之间，</w:t>
      </w:r>
      <w:r>
        <w:rPr>
          <w:rFonts w:hint="eastAsia"/>
          <w:highlight w:val="none"/>
          <w:lang w:eastAsia="zh-CN"/>
        </w:rPr>
        <w:t>主缆</w:t>
      </w:r>
      <w:r>
        <w:rPr>
          <w:rFonts w:hint="eastAsia"/>
          <w:highlight w:val="none"/>
        </w:rPr>
        <w:t>线形未见明显变化。</w:t>
      </w:r>
    </w:p>
    <w:p w14:paraId="1DBF5F67">
      <w:pPr>
        <w:snapToGrid/>
        <w:spacing w:before="60"/>
        <w:ind w:firstLine="0" w:firstLineChars="0"/>
        <w:jc w:val="center"/>
        <w:rPr>
          <w:rFonts w:hint="eastAsia"/>
          <w:highlight w:val="none"/>
          <w:lang w:eastAsia="zh-CN"/>
        </w:rPr>
      </w:pPr>
      <w:bookmarkStart w:id="83" w:name="_Ref10827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2</w:t>
      </w:r>
      <w:r>
        <w:rPr>
          <w:highlight w:val="none"/>
        </w:rPr>
        <w:fldChar w:fldCharType="end"/>
      </w:r>
      <w:bookmarkEnd w:id="83"/>
      <w:r>
        <w:rPr>
          <w:highlight w:val="none"/>
        </w:rPr>
        <w:t xml:space="preserve"> </w:t>
      </w:r>
      <w:r>
        <w:rPr>
          <w:rFonts w:hint="eastAsia"/>
          <w:highlight w:val="none"/>
          <w:lang w:eastAsia="zh-CN"/>
        </w:rPr>
        <w:t>主缆</w:t>
      </w:r>
      <w:r>
        <w:rPr>
          <w:rFonts w:hint="eastAsia"/>
          <w:highlight w:val="none"/>
        </w:rPr>
        <w:t>线形</w:t>
      </w:r>
      <w:r>
        <w:rPr>
          <w:highlight w:val="none"/>
        </w:rPr>
        <w:t>监测结果汇总表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2" w:space="0"/>
          <w:insideV w:val="single" w:color="000000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125"/>
        <w:gridCol w:w="1426"/>
        <w:gridCol w:w="1080"/>
        <w:gridCol w:w="1080"/>
        <w:gridCol w:w="1274"/>
      </w:tblGrid>
      <w:tr w14:paraId="130576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Header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AC6B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测点编号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25946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高程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05F8F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累计变化量（</w:t>
            </w:r>
            <w:r>
              <w:rPr>
                <w:rStyle w:val="51"/>
                <w:rFonts w:eastAsia="楷体_GB2312"/>
                <w:b/>
                <w:bCs/>
                <w:highlight w:val="none"/>
                <w:lang w:val="en-US" w:eastAsia="zh-CN" w:bidi="ar"/>
              </w:rPr>
              <w:t>mm</w:t>
            </w:r>
            <w:r>
              <w:rPr>
                <w:rStyle w:val="44"/>
                <w:rFonts w:hAnsi="宋体"/>
                <w:b/>
                <w:bCs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6E7A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测点编号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2A8B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高程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21868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bCs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累计变化量（</w:t>
            </w:r>
            <w:r>
              <w:rPr>
                <w:rStyle w:val="51"/>
                <w:rFonts w:eastAsia="楷体_GB2312"/>
                <w:b/>
                <w:bCs/>
                <w:highlight w:val="none"/>
                <w:lang w:val="en-US" w:eastAsia="zh-CN" w:bidi="ar"/>
              </w:rPr>
              <w:t>mm</w:t>
            </w:r>
            <w:r>
              <w:rPr>
                <w:rStyle w:val="43"/>
                <w:b/>
                <w:bCs/>
                <w:highlight w:val="none"/>
                <w:lang w:val="en-US" w:eastAsia="zh-CN" w:bidi="ar"/>
              </w:rPr>
              <w:t>）</w:t>
            </w:r>
          </w:p>
        </w:tc>
      </w:tr>
      <w:tr w14:paraId="2312E4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7DA9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bookmarkStart w:id="84" w:name="OLE_LINK6" w:colFirst="4" w:colLast="4"/>
            <w:bookmarkStart w:id="85" w:name="OLE_LINK5" w:colFirst="1" w:colLast="1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NS11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5684F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3.2235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4F1F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8.6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85B9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NX11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E479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3.2058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6936D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7.8 </w:t>
            </w:r>
          </w:p>
        </w:tc>
      </w:tr>
      <w:tr w14:paraId="52D78C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0159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NS10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BE56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4.9384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5509A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3.5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5051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NX10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28FE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4.9545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38C3E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-0.5 </w:t>
            </w:r>
          </w:p>
        </w:tc>
      </w:tr>
      <w:tr w14:paraId="2F951F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3563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NS9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255F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7.2572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317B2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3.8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2C8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NX9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79FB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7.2628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2F363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2.0 </w:t>
            </w:r>
          </w:p>
        </w:tc>
      </w:tr>
      <w:tr w14:paraId="2DB09B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1422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NS8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6A810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10.1811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692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-7.1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42DA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NX8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8B4F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10.1819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47FB8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-9.4 </w:t>
            </w:r>
          </w:p>
        </w:tc>
      </w:tr>
      <w:tr w14:paraId="04103B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0236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NS7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059B3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13.6982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6AE63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-5.8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CDEC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NX7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D200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13.7134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07565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1.0 </w:t>
            </w:r>
          </w:p>
        </w:tc>
      </w:tr>
      <w:tr w14:paraId="122ECD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0B42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NS6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3EBA1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17.7913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49046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-7.2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5871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NX6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BD7A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17.7962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07018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4.0 </w:t>
            </w:r>
          </w:p>
        </w:tc>
      </w:tr>
      <w:tr w14:paraId="26A0D6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4582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NS5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03A43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22.4738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EE99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-8.6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8C20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NX5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A6C2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22.4792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4B536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-9.6 </w:t>
            </w:r>
          </w:p>
        </w:tc>
      </w:tr>
      <w:tr w14:paraId="5B9F57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C22E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NS4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B119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27.7929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DF4B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12.7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1102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NX4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D3B0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27.7768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0F2DD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-10.8 </w:t>
            </w:r>
          </w:p>
        </w:tc>
      </w:tr>
      <w:tr w14:paraId="222C43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A4F3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NS3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9C3C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33.6902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554BE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4.4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AE8C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NX3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69DC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33.6831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44E52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6.5 </w:t>
            </w:r>
          </w:p>
        </w:tc>
      </w:tr>
      <w:tr w14:paraId="5DE7A2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3B4D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NS2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6B053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40.1837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06497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1.7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A696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NX2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DD21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40.1860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2E1E5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3.2 </w:t>
            </w:r>
          </w:p>
        </w:tc>
      </w:tr>
      <w:tr w14:paraId="173CF9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5ABE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NS1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6C2DA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47.2192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541C4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-6.2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2BD05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NX1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A9AF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47.2231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7DCD4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10.6 </w:t>
            </w:r>
          </w:p>
        </w:tc>
      </w:tr>
      <w:tr w14:paraId="2FCBB5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FCBF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MS1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27EFB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47.2094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56869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-3.2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24B3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MX1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552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47.2150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57775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-8.9 </w:t>
            </w:r>
          </w:p>
        </w:tc>
      </w:tr>
      <w:tr w14:paraId="38E2F2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14ACC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MS2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6F3C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40.1610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45EC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-2.9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6292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MX2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77F4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40.1785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4DA6D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-1.6 </w:t>
            </w:r>
          </w:p>
        </w:tc>
      </w:tr>
      <w:tr w14:paraId="2BCFBA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4B2B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MS3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2C1C7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33.6748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B215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-7.6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2C839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MX3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5711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33.6771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02B72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-0.6 </w:t>
            </w:r>
          </w:p>
        </w:tc>
      </w:tr>
      <w:tr w14:paraId="6B5C75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47E1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MS4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4D8C7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27.7764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054FA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-12.9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2FFF8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MX4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6A43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27.7795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23AAC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-5.3 </w:t>
            </w:r>
          </w:p>
        </w:tc>
      </w:tr>
      <w:tr w14:paraId="2B68E3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A642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MS5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1CCC6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22.4775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8426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5.3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B529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MX5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C6B2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22.4769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17E17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2.7 </w:t>
            </w:r>
          </w:p>
        </w:tc>
      </w:tr>
      <w:tr w14:paraId="545459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29420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MS6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67D1F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17.7753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0B1CC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4.4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CB9B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MX6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A878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17.7688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3C4E7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-3.8 </w:t>
            </w:r>
          </w:p>
        </w:tc>
      </w:tr>
      <w:tr w14:paraId="75D020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D8FC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MS7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64300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13.6959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5242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-0.2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6A07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MX7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C1AF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13.6942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607E0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0.3 </w:t>
            </w:r>
          </w:p>
        </w:tc>
      </w:tr>
      <w:tr w14:paraId="5D4065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5588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MS8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37E75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10.1728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6F4F2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-8.6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8BBF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MX8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687A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10.1858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5ED51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-0.3 </w:t>
            </w:r>
          </w:p>
        </w:tc>
      </w:tr>
      <w:tr w14:paraId="20746E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69E9D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MS9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709F5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7.2538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1B7FC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2.4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10E7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MX9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47EA8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7.2263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25FD7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-8.9 </w:t>
            </w:r>
          </w:p>
        </w:tc>
      </w:tr>
      <w:tr w14:paraId="0B6F3D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AE01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MS10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4D856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4.9234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32753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-4.4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7BD80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MX10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2F7A6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4.9196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1D6E7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3.4 </w:t>
            </w:r>
          </w:p>
        </w:tc>
      </w:tr>
      <w:tr w14:paraId="6902A9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5CCF7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MS11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 w:val="0"/>
            <w:vAlign w:val="center"/>
          </w:tcPr>
          <w:p w14:paraId="1E625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3.2003 </w:t>
            </w: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71A4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2.3 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3ADFF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MX11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 w14:paraId="09741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3.1949 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noWrap w:val="0"/>
            <w:vAlign w:val="center"/>
          </w:tcPr>
          <w:p w14:paraId="42D22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-6.7 </w:t>
            </w:r>
          </w:p>
        </w:tc>
      </w:tr>
      <w:bookmarkEnd w:id="84"/>
      <w:bookmarkEnd w:id="85"/>
    </w:tbl>
    <w:p w14:paraId="55504AE4">
      <w:pPr>
        <w:pStyle w:val="61"/>
        <w:bidi w:val="0"/>
        <w:rPr>
          <w:rFonts w:hint="eastAsia"/>
          <w:highlight w:val="none"/>
          <w:lang w:eastAsia="zh-CN"/>
        </w:rPr>
      </w:pPr>
      <w:bookmarkStart w:id="86" w:name="_Ref20937"/>
      <w:bookmarkStart w:id="87" w:name="_Ref16370"/>
      <w:r>
        <w:rPr>
          <w:highlight w:val="none"/>
        </w:rPr>
        <w:drawing>
          <wp:inline distT="0" distB="0" distL="114300" distR="114300">
            <wp:extent cx="5862955" cy="1883410"/>
            <wp:effectExtent l="0" t="0" r="4445" b="6350"/>
            <wp:docPr id="2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7F5E">
      <w:pPr>
        <w:pStyle w:val="61"/>
        <w:bidi w:val="0"/>
        <w:rPr>
          <w:rFonts w:hint="eastAsia"/>
          <w:highlight w:val="none"/>
          <w:lang w:val="en-US" w:eastAsia="zh-CN"/>
        </w:rPr>
      </w:pPr>
      <w:bookmarkStart w:id="88" w:name="_Ref689"/>
      <w:r>
        <w:rPr>
          <w:rFonts w:hint="default"/>
          <w:highlight w:val="none"/>
        </w:rPr>
        <w:t xml:space="preserve">图 </w:t>
      </w:r>
      <w:r>
        <w:rPr>
          <w:rFonts w:hint="default"/>
          <w:highlight w:val="none"/>
        </w:rPr>
        <w:fldChar w:fldCharType="begin"/>
      </w:r>
      <w:r>
        <w:rPr>
          <w:rFonts w:hint="default"/>
          <w:highlight w:val="none"/>
        </w:rPr>
        <w:instrText xml:space="preserve"> STYLEREF 1 \s </w:instrText>
      </w:r>
      <w:r>
        <w:rPr>
          <w:rFonts w:hint="default"/>
          <w:highlight w:val="none"/>
        </w:rPr>
        <w:fldChar w:fldCharType="separate"/>
      </w:r>
      <w:r>
        <w:rPr>
          <w:rFonts w:hint="default"/>
          <w:highlight w:val="none"/>
        </w:rPr>
        <w:t>4</w:t>
      </w:r>
      <w:r>
        <w:rPr>
          <w:rFonts w:hint="default"/>
          <w:highlight w:val="none"/>
        </w:rPr>
        <w:fldChar w:fldCharType="end"/>
      </w:r>
      <w:r>
        <w:rPr>
          <w:rFonts w:hint="default"/>
          <w:highlight w:val="none"/>
        </w:rPr>
        <w:t>-</w:t>
      </w:r>
      <w:r>
        <w:rPr>
          <w:rFonts w:hint="default"/>
          <w:highlight w:val="none"/>
        </w:rPr>
        <w:fldChar w:fldCharType="begin"/>
      </w:r>
      <w:r>
        <w:rPr>
          <w:rFonts w:hint="default"/>
          <w:highlight w:val="none"/>
        </w:rPr>
        <w:instrText xml:space="preserve"> SEQ 图 \* ARABIC \s 1 </w:instrText>
      </w:r>
      <w:r>
        <w:rPr>
          <w:rFonts w:hint="default"/>
          <w:highlight w:val="none"/>
        </w:rPr>
        <w:fldChar w:fldCharType="separate"/>
      </w:r>
      <w:r>
        <w:rPr>
          <w:rFonts w:hint="default"/>
          <w:highlight w:val="none"/>
        </w:rPr>
        <w:t>2</w:t>
      </w:r>
      <w:r>
        <w:rPr>
          <w:rFonts w:hint="default"/>
          <w:highlight w:val="none"/>
        </w:rPr>
        <w:fldChar w:fldCharType="end"/>
      </w:r>
      <w:bookmarkEnd w:id="86"/>
      <w:bookmarkEnd w:id="87"/>
      <w:bookmarkEnd w:id="88"/>
      <w:r>
        <w:rPr>
          <w:rFonts w:hint="default"/>
          <w:highlight w:val="none"/>
        </w:rPr>
        <w:t xml:space="preserve"> </w:t>
      </w:r>
      <w:r>
        <w:rPr>
          <w:rFonts w:hint="eastAsia"/>
          <w:highlight w:val="none"/>
          <w:lang w:eastAsia="zh-CN"/>
        </w:rPr>
        <w:t>实测主缆</w:t>
      </w:r>
      <w:r>
        <w:rPr>
          <w:rFonts w:hint="eastAsia"/>
          <w:highlight w:val="none"/>
          <w:lang w:val="en-US" w:eastAsia="zh-CN"/>
        </w:rPr>
        <w:t>线形</w:t>
      </w:r>
    </w:p>
    <w:p w14:paraId="15E88823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89" w:name="_Toc3558"/>
      <w:bookmarkStart w:id="90" w:name="_Toc28684"/>
      <w:r>
        <w:rPr>
          <w:rFonts w:hint="eastAsia" w:cs="Times New Roman"/>
          <w:sz w:val="24"/>
          <w:szCs w:val="24"/>
          <w:highlight w:val="none"/>
          <w:lang w:eastAsia="zh-CN"/>
        </w:rPr>
        <w:t>主塔变形</w:t>
      </w:r>
      <w:bookmarkEnd w:id="89"/>
      <w:bookmarkEnd w:id="90"/>
    </w:p>
    <w:p w14:paraId="1567E772">
      <w:pPr>
        <w:snapToGrid w:val="0"/>
        <w:spacing w:line="400" w:lineRule="atLeast"/>
        <w:ind w:firstLine="480" w:firstLineChars="20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主塔变形</w:t>
      </w:r>
      <w:r>
        <w:rPr>
          <w:rFonts w:hint="eastAsia"/>
          <w:highlight w:val="none"/>
          <w:lang w:eastAsia="zh-CN"/>
        </w:rPr>
        <w:t>测试期间气温</w:t>
      </w:r>
      <w:r>
        <w:rPr>
          <w:rFonts w:hint="eastAsia"/>
          <w:highlight w:val="none"/>
          <w:lang w:val="en-US" w:eastAsia="zh-CN"/>
        </w:rPr>
        <w:t>为16℃，</w:t>
      </w:r>
      <w:r>
        <w:rPr>
          <w:rFonts w:hint="default"/>
          <w:highlight w:val="none"/>
        </w:rPr>
        <w:t>监测结果如</w:t>
      </w:r>
      <w:r>
        <w:rPr>
          <w:rFonts w:hint="default"/>
          <w:highlight w:val="none"/>
          <w:lang w:val="en-US"/>
        </w:rPr>
        <w:fldChar w:fldCharType="begin"/>
      </w:r>
      <w:r>
        <w:rPr>
          <w:rFonts w:hint="default"/>
          <w:highlight w:val="none"/>
          <w:lang w:val="en-US"/>
        </w:rPr>
        <w:instrText xml:space="preserve"> REF _Ref7351 \h </w:instrText>
      </w:r>
      <w:r>
        <w:rPr>
          <w:rFonts w:hint="default"/>
          <w:highlight w:val="none"/>
          <w:lang w:val="en-US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-3</w:t>
      </w:r>
      <w:r>
        <w:rPr>
          <w:rFonts w:hint="default"/>
          <w:highlight w:val="none"/>
          <w:lang w:val="en-US"/>
        </w:rPr>
        <w:fldChar w:fldCharType="end"/>
      </w:r>
      <w:r>
        <w:rPr>
          <w:rFonts w:hint="default"/>
          <w:highlight w:val="none"/>
        </w:rPr>
        <w:t>所示。</w:t>
      </w:r>
      <w:r>
        <w:rPr>
          <w:rFonts w:hint="eastAsia"/>
          <w:highlight w:val="none"/>
          <w:lang w:eastAsia="zh-CN"/>
        </w:rPr>
        <w:t>各测点纵桥向累计变化范围在</w:t>
      </w:r>
      <w:r>
        <w:rPr>
          <w:rFonts w:hint="eastAsia"/>
          <w:highlight w:val="none"/>
          <w:lang w:val="en-US" w:eastAsia="zh-CN"/>
        </w:rPr>
        <w:t>-2.2</w:t>
      </w:r>
      <w:r>
        <w:rPr>
          <w:rFonts w:hint="eastAsia"/>
          <w:highlight w:val="none"/>
          <w:lang w:eastAsia="zh-CN"/>
        </w:rPr>
        <w:t>mm～</w:t>
      </w:r>
      <w:r>
        <w:rPr>
          <w:rFonts w:hint="eastAsia"/>
          <w:highlight w:val="none"/>
          <w:lang w:val="en-US" w:eastAsia="zh-CN"/>
        </w:rPr>
        <w:t>2.6</w:t>
      </w:r>
      <w:r>
        <w:rPr>
          <w:rFonts w:hint="eastAsia"/>
          <w:highlight w:val="none"/>
          <w:lang w:eastAsia="zh-CN"/>
        </w:rPr>
        <w:t>mm之间，横桥向累计变化范围在</w:t>
      </w:r>
      <w:r>
        <w:rPr>
          <w:rFonts w:hint="eastAsia"/>
          <w:highlight w:val="none"/>
          <w:lang w:val="en-US" w:eastAsia="zh-CN"/>
        </w:rPr>
        <w:t>-1.0</w:t>
      </w:r>
      <w:r>
        <w:rPr>
          <w:rFonts w:hint="eastAsia"/>
          <w:highlight w:val="none"/>
          <w:lang w:eastAsia="zh-CN"/>
        </w:rPr>
        <w:t>mm～</w:t>
      </w:r>
      <w:r>
        <w:rPr>
          <w:rFonts w:hint="eastAsia"/>
          <w:highlight w:val="none"/>
          <w:lang w:val="en-US" w:eastAsia="zh-CN"/>
        </w:rPr>
        <w:t>3.3</w:t>
      </w:r>
      <w:r>
        <w:rPr>
          <w:rFonts w:hint="eastAsia"/>
          <w:highlight w:val="none"/>
          <w:lang w:eastAsia="zh-CN"/>
        </w:rPr>
        <w:t>mm之间。主塔水平位移未见明显变化。</w:t>
      </w:r>
    </w:p>
    <w:p w14:paraId="48F162DE">
      <w:pPr>
        <w:snapToGrid/>
        <w:spacing w:before="60"/>
        <w:ind w:firstLine="0" w:firstLineChars="0"/>
        <w:jc w:val="center"/>
        <w:rPr>
          <w:rFonts w:hint="eastAsia"/>
          <w:highlight w:val="none"/>
          <w:lang w:eastAsia="zh-CN"/>
        </w:rPr>
      </w:pPr>
      <w:bookmarkStart w:id="91" w:name="_Ref7351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bookmarkEnd w:id="91"/>
      <w:r>
        <w:rPr>
          <w:highlight w:val="none"/>
        </w:rPr>
        <w:t xml:space="preserve"> </w:t>
      </w:r>
      <w:r>
        <w:rPr>
          <w:rFonts w:hint="eastAsia"/>
          <w:highlight w:val="none"/>
          <w:lang w:eastAsia="zh-CN"/>
        </w:rPr>
        <w:t>主塔变形</w:t>
      </w:r>
      <w:r>
        <w:rPr>
          <w:highlight w:val="none"/>
        </w:rPr>
        <w:t>监测结果汇总表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mm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892"/>
        <w:gridCol w:w="720"/>
        <w:gridCol w:w="1065"/>
        <w:gridCol w:w="1095"/>
      </w:tblGrid>
      <w:tr w14:paraId="48228B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48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179D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测点编号</w:t>
            </w:r>
          </w:p>
        </w:tc>
        <w:tc>
          <w:tcPr>
            <w:tcW w:w="161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5FC2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2021年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5月</w:t>
            </w:r>
          </w:p>
        </w:tc>
        <w:tc>
          <w:tcPr>
            <w:tcW w:w="21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108C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2025年12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月</w:t>
            </w:r>
          </w:p>
          <w:p w14:paraId="135B6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（累计变化量）</w:t>
            </w:r>
          </w:p>
        </w:tc>
      </w:tr>
      <w:tr w14:paraId="3D28EA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C6D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892" w:type="dxa"/>
            <w:tcBorders>
              <w:tl2br w:val="nil"/>
              <w:tr2bl w:val="nil"/>
            </w:tcBorders>
            <w:noWrap w:val="0"/>
            <w:vAlign w:val="center"/>
          </w:tcPr>
          <w:p w14:paraId="1CBAB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x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163A2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y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42F79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x</w:t>
            </w:r>
          </w:p>
        </w:tc>
        <w:tc>
          <w:tcPr>
            <w:tcW w:w="1095" w:type="dxa"/>
            <w:tcBorders>
              <w:tl2br w:val="nil"/>
              <w:tr2bl w:val="nil"/>
            </w:tcBorders>
            <w:noWrap w:val="0"/>
            <w:vAlign w:val="center"/>
          </w:tcPr>
          <w:p w14:paraId="7EC2E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y</w:t>
            </w:r>
          </w:p>
        </w:tc>
      </w:tr>
      <w:tr w14:paraId="4AFE89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48" w:type="dxa"/>
            <w:tcBorders>
              <w:tl2br w:val="nil"/>
              <w:tr2bl w:val="nil"/>
            </w:tcBorders>
            <w:noWrap w:val="0"/>
            <w:vAlign w:val="center"/>
          </w:tcPr>
          <w:p w14:paraId="1BAC1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T1</w:t>
            </w:r>
          </w:p>
        </w:tc>
        <w:tc>
          <w:tcPr>
            <w:tcW w:w="892" w:type="dxa"/>
            <w:tcBorders>
              <w:tl2br w:val="nil"/>
              <w:tr2bl w:val="nil"/>
            </w:tcBorders>
            <w:noWrap w:val="0"/>
            <w:vAlign w:val="center"/>
          </w:tcPr>
          <w:p w14:paraId="33A77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58FC4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20413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3.3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95" w:type="dxa"/>
            <w:tcBorders>
              <w:tl2br w:val="nil"/>
              <w:tr2bl w:val="nil"/>
            </w:tcBorders>
            <w:noWrap w:val="0"/>
            <w:vAlign w:val="center"/>
          </w:tcPr>
          <w:p w14:paraId="0C9E4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-</w:t>
            </w: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2.2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</w:tr>
      <w:tr w14:paraId="2F7816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48" w:type="dxa"/>
            <w:tcBorders>
              <w:tl2br w:val="nil"/>
              <w:tr2bl w:val="nil"/>
            </w:tcBorders>
            <w:noWrap w:val="0"/>
            <w:vAlign w:val="center"/>
          </w:tcPr>
          <w:p w14:paraId="6220A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T2</w:t>
            </w:r>
          </w:p>
        </w:tc>
        <w:tc>
          <w:tcPr>
            <w:tcW w:w="892" w:type="dxa"/>
            <w:tcBorders>
              <w:tl2br w:val="nil"/>
              <w:tr2bl w:val="nil"/>
            </w:tcBorders>
            <w:noWrap w:val="0"/>
            <w:vAlign w:val="center"/>
          </w:tcPr>
          <w:p w14:paraId="48399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70088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1B0A5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-1.0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95" w:type="dxa"/>
            <w:tcBorders>
              <w:tl2br w:val="nil"/>
              <w:tr2bl w:val="nil"/>
            </w:tcBorders>
            <w:noWrap w:val="0"/>
            <w:vAlign w:val="center"/>
          </w:tcPr>
          <w:p w14:paraId="7715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2.6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</w:tr>
      <w:tr w14:paraId="427832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48" w:type="dxa"/>
            <w:tcBorders>
              <w:tl2br w:val="nil"/>
              <w:tr2bl w:val="nil"/>
            </w:tcBorders>
            <w:noWrap w:val="0"/>
            <w:vAlign w:val="center"/>
          </w:tcPr>
          <w:p w14:paraId="139CC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T3</w:t>
            </w:r>
          </w:p>
        </w:tc>
        <w:tc>
          <w:tcPr>
            <w:tcW w:w="892" w:type="dxa"/>
            <w:tcBorders>
              <w:tl2br w:val="nil"/>
              <w:tr2bl w:val="nil"/>
            </w:tcBorders>
            <w:noWrap w:val="0"/>
            <w:vAlign w:val="center"/>
          </w:tcPr>
          <w:p w14:paraId="12870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6D7E7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09B10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0.6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95" w:type="dxa"/>
            <w:tcBorders>
              <w:tl2br w:val="nil"/>
              <w:tr2bl w:val="nil"/>
            </w:tcBorders>
            <w:noWrap w:val="0"/>
            <w:vAlign w:val="center"/>
          </w:tcPr>
          <w:p w14:paraId="3275F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0.6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</w:tr>
      <w:tr w14:paraId="5E7229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148" w:type="dxa"/>
            <w:tcBorders>
              <w:tl2br w:val="nil"/>
              <w:tr2bl w:val="nil"/>
            </w:tcBorders>
            <w:noWrap w:val="0"/>
            <w:vAlign w:val="center"/>
          </w:tcPr>
          <w:p w14:paraId="2ECB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T4</w:t>
            </w:r>
          </w:p>
        </w:tc>
        <w:tc>
          <w:tcPr>
            <w:tcW w:w="892" w:type="dxa"/>
            <w:tcBorders>
              <w:tl2br w:val="nil"/>
              <w:tr2bl w:val="nil"/>
            </w:tcBorders>
            <w:noWrap w:val="0"/>
            <w:vAlign w:val="center"/>
          </w:tcPr>
          <w:p w14:paraId="1276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2B883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4329A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1.3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95" w:type="dxa"/>
            <w:tcBorders>
              <w:tl2br w:val="nil"/>
              <w:tr2bl w:val="nil"/>
            </w:tcBorders>
            <w:noWrap w:val="0"/>
            <w:vAlign w:val="center"/>
          </w:tcPr>
          <w:p w14:paraId="462D1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1.3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059601FE">
      <w:pPr>
        <w:pStyle w:val="60"/>
        <w:ind w:left="0" w:leftChars="0" w:firstLine="0" w:firstLineChars="0"/>
        <w:jc w:val="center"/>
        <w:rPr>
          <w:rFonts w:hint="eastAsia"/>
          <w:highlight w:val="none"/>
          <w:lang w:eastAsia="zh-CN"/>
        </w:rPr>
      </w:pPr>
      <w:r>
        <w:rPr>
          <w:rFonts w:hint="eastAsia"/>
          <w:sz w:val="21"/>
          <w:szCs w:val="21"/>
          <w:highlight w:val="none"/>
          <w:lang w:eastAsia="zh-CN"/>
        </w:rPr>
        <w:t>备注：</w:t>
      </w:r>
      <w:r>
        <w:rPr>
          <w:rFonts w:hint="eastAsia"/>
          <w:sz w:val="21"/>
          <w:szCs w:val="21"/>
          <w:highlight w:val="none"/>
          <w:lang w:val="en-US" w:eastAsia="zh-CN"/>
        </w:rPr>
        <w:t>x表示纵桥向位移，以闽侯至农林方向为正，y表示横桥向位移，以上游侧方向为正。</w:t>
      </w:r>
    </w:p>
    <w:p w14:paraId="213C4499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92" w:name="_Toc32375"/>
      <w:bookmarkStart w:id="93" w:name="_Toc17190"/>
      <w:r>
        <w:rPr>
          <w:rFonts w:hint="eastAsia" w:cs="Times New Roman"/>
          <w:sz w:val="24"/>
          <w:szCs w:val="24"/>
          <w:highlight w:val="none"/>
          <w:lang w:val="en-US" w:eastAsia="zh-CN"/>
        </w:rPr>
        <w:t>交通状况监测</w:t>
      </w:r>
      <w:bookmarkEnd w:id="92"/>
      <w:bookmarkEnd w:id="93"/>
    </w:p>
    <w:p w14:paraId="5186A5DE">
      <w:pPr>
        <w:pStyle w:val="60"/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eastAsia="zh-CN"/>
        </w:rPr>
        <w:t>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default"/>
          <w:highlight w:val="none"/>
          <w:lang w:eastAsia="zh-CN"/>
        </w:rPr>
        <w:t>年</w:t>
      </w:r>
      <w:r>
        <w:rPr>
          <w:rFonts w:hint="eastAsia"/>
          <w:highlight w:val="none"/>
          <w:lang w:val="en-US" w:eastAsia="zh-CN"/>
        </w:rPr>
        <w:t>12</w:t>
      </w:r>
      <w:r>
        <w:rPr>
          <w:rFonts w:hint="default"/>
          <w:highlight w:val="none"/>
          <w:lang w:eastAsia="zh-CN"/>
        </w:rPr>
        <w:t>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default"/>
          <w:highlight w:val="none"/>
        </w:rPr>
        <w:t>日至</w:t>
      </w:r>
      <w:r>
        <w:rPr>
          <w:rFonts w:hint="eastAsia"/>
          <w:highlight w:val="none"/>
          <w:lang w:val="en-US" w:eastAsia="zh-CN"/>
        </w:rPr>
        <w:t>12</w:t>
      </w:r>
      <w:r>
        <w:rPr>
          <w:rFonts w:hint="default"/>
          <w:highlight w:val="none"/>
          <w:lang w:val="en-US" w:eastAsia="zh-CN"/>
        </w:rPr>
        <w:t>月</w:t>
      </w:r>
      <w:r>
        <w:rPr>
          <w:rFonts w:hint="eastAsia"/>
          <w:highlight w:val="none"/>
          <w:lang w:val="en-US" w:eastAsia="zh-CN"/>
        </w:rPr>
        <w:t>31</w:t>
      </w:r>
      <w:r>
        <w:rPr>
          <w:rFonts w:hint="default"/>
          <w:highlight w:val="none"/>
        </w:rPr>
        <w:t>日，</w:t>
      </w:r>
      <w:r>
        <w:rPr>
          <w:rFonts w:hint="eastAsia"/>
          <w:highlight w:val="none"/>
          <w:lang w:val="en-US" w:eastAsia="zh-CN"/>
        </w:rPr>
        <w:t>桥梁</w:t>
      </w:r>
      <w:r>
        <w:rPr>
          <w:rFonts w:hint="default"/>
          <w:highlight w:val="none"/>
        </w:rPr>
        <w:t>共通过车辆</w:t>
      </w:r>
      <w:bookmarkStart w:id="94" w:name="OLE_LINK2"/>
      <w:r>
        <w:rPr>
          <w:rFonts w:hint="default"/>
          <w:highlight w:val="none"/>
        </w:rPr>
        <w:t>2309276辆，日均</w:t>
      </w:r>
      <w:r>
        <w:rPr>
          <w:rFonts w:hint="eastAsia"/>
          <w:highlight w:val="none"/>
          <w:lang w:val="en-US" w:eastAsia="zh-CN"/>
        </w:rPr>
        <w:t>74493</w:t>
      </w:r>
      <w:r>
        <w:rPr>
          <w:rFonts w:hint="default"/>
          <w:highlight w:val="none"/>
        </w:rPr>
        <w:t>辆</w:t>
      </w:r>
      <w:bookmarkEnd w:id="94"/>
      <w:r>
        <w:rPr>
          <w:rFonts w:hint="default"/>
          <w:highlight w:val="none"/>
        </w:rPr>
        <w:t>。其中上行方向（</w:t>
      </w:r>
      <w:r>
        <w:rPr>
          <w:rFonts w:hint="eastAsia"/>
          <w:highlight w:val="none"/>
          <w:lang w:val="en-US" w:eastAsia="zh-CN"/>
        </w:rPr>
        <w:t>闽侯</w:t>
      </w:r>
      <w:r>
        <w:rPr>
          <w:rFonts w:hint="default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t>农大，</w:t>
      </w:r>
      <w:r>
        <w:rPr>
          <w:rFonts w:hint="default"/>
          <w:highlight w:val="none"/>
        </w:rPr>
        <w:t>车道1～</w:t>
      </w:r>
      <w:r>
        <w:rPr>
          <w:rFonts w:hint="eastAsia"/>
          <w:highlight w:val="none"/>
          <w:lang w:val="en-US" w:eastAsia="zh-CN"/>
        </w:rPr>
        <w:t>车道4</w:t>
      </w:r>
      <w:r>
        <w:rPr>
          <w:rFonts w:hint="default"/>
          <w:highlight w:val="none"/>
        </w:rPr>
        <w:t>）所通过车辆为1158758辆，下行方向（</w:t>
      </w:r>
      <w:r>
        <w:rPr>
          <w:rFonts w:hint="eastAsia"/>
          <w:highlight w:val="none"/>
          <w:lang w:val="en-US" w:eastAsia="zh-CN"/>
        </w:rPr>
        <w:t>农大</w:t>
      </w:r>
      <w:r>
        <w:rPr>
          <w:rFonts w:hint="default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t>闽侯，</w:t>
      </w:r>
      <w:r>
        <w:rPr>
          <w:rFonts w:hint="default"/>
          <w:highlight w:val="none"/>
        </w:rPr>
        <w:t>车道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default"/>
          <w:highlight w:val="none"/>
        </w:rPr>
        <w:t>～</w:t>
      </w:r>
      <w:r>
        <w:rPr>
          <w:rFonts w:hint="eastAsia"/>
          <w:highlight w:val="none"/>
          <w:lang w:val="en-US" w:eastAsia="zh-CN"/>
        </w:rPr>
        <w:t>车道8</w:t>
      </w:r>
      <w:r>
        <w:rPr>
          <w:rFonts w:hint="default"/>
          <w:highlight w:val="none"/>
        </w:rPr>
        <w:t>）的1150518辆。期间系统记录到的最大车重</w:t>
      </w:r>
      <w:r>
        <w:rPr>
          <w:rFonts w:hint="default"/>
          <w:color w:val="auto"/>
          <w:highlight w:val="none"/>
        </w:rPr>
        <w:t>为</w:t>
      </w:r>
      <w:r>
        <w:rPr>
          <w:rFonts w:hint="eastAsia"/>
          <w:color w:val="auto"/>
          <w:highlight w:val="none"/>
          <w:lang w:val="en-US" w:eastAsia="zh-CN"/>
        </w:rPr>
        <w:t>145.42</w:t>
      </w:r>
      <w:r>
        <w:rPr>
          <w:rFonts w:hint="default"/>
          <w:color w:val="auto"/>
          <w:highlight w:val="none"/>
        </w:rPr>
        <w:t>t</w:t>
      </w:r>
      <w:r>
        <w:rPr>
          <w:rFonts w:hint="eastAsia"/>
          <w:color w:val="auto"/>
          <w:highlight w:val="none"/>
          <w:lang w:eastAsia="zh-CN"/>
        </w:rPr>
        <w:t>，</w:t>
      </w:r>
      <w:r>
        <w:rPr>
          <w:rFonts w:hint="eastAsia"/>
          <w:color w:val="auto"/>
          <w:highlight w:val="none"/>
          <w:lang w:val="en-US" w:eastAsia="zh-CN"/>
        </w:rPr>
        <w:t>超过2.0倍设计车辆荷载110t</w:t>
      </w:r>
      <w:r>
        <w:rPr>
          <w:rFonts w:hint="default"/>
          <w:color w:val="auto"/>
          <w:highlight w:val="none"/>
        </w:rPr>
        <w:t>。</w:t>
      </w:r>
      <w:r>
        <w:rPr>
          <w:rFonts w:hint="eastAsia"/>
          <w:color w:val="auto"/>
          <w:highlight w:val="none"/>
          <w:lang w:val="en-US" w:eastAsia="zh-CN"/>
        </w:rPr>
        <w:t>最大轴重29.92t，未达到1.5倍设计车辆荷载，</w:t>
      </w:r>
      <w:r>
        <w:rPr>
          <w:rFonts w:hint="default"/>
          <w:color w:val="auto"/>
          <w:highlight w:val="none"/>
        </w:rPr>
        <w:t>具体</w:t>
      </w:r>
      <w:r>
        <w:rPr>
          <w:rFonts w:hint="default"/>
          <w:highlight w:val="none"/>
        </w:rPr>
        <w:t>交通流参数及前10辆最重车参数详见</w:t>
      </w:r>
      <w:r>
        <w:rPr>
          <w:rFonts w:hint="default"/>
          <w:highlight w:val="none"/>
          <w:lang w:val="en-US"/>
        </w:rPr>
        <w:fldChar w:fldCharType="begin"/>
      </w:r>
      <w:r>
        <w:rPr>
          <w:rFonts w:hint="default"/>
          <w:highlight w:val="none"/>
          <w:lang w:val="en-US"/>
        </w:rPr>
        <w:instrText xml:space="preserve"> REF _Ref1980 \h </w:instrText>
      </w:r>
      <w:r>
        <w:rPr>
          <w:rFonts w:hint="default"/>
          <w:highlight w:val="none"/>
          <w:lang w:val="en-US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-4</w:t>
      </w:r>
      <w:r>
        <w:rPr>
          <w:rFonts w:hint="default"/>
          <w:highlight w:val="none"/>
          <w:lang w:val="en-US"/>
        </w:rPr>
        <w:fldChar w:fldCharType="end"/>
      </w:r>
      <w:r>
        <w:rPr>
          <w:rFonts w:hint="default"/>
          <w:highlight w:val="none"/>
        </w:rPr>
        <w:t>和</w:t>
      </w:r>
      <w:r>
        <w:rPr>
          <w:rFonts w:hint="default"/>
          <w:highlight w:val="none"/>
          <w:lang w:val="en-US"/>
        </w:rPr>
        <w:fldChar w:fldCharType="begin"/>
      </w:r>
      <w:r>
        <w:rPr>
          <w:rFonts w:hint="default"/>
          <w:highlight w:val="none"/>
          <w:lang w:val="en-US"/>
        </w:rPr>
        <w:instrText xml:space="preserve"> REF _Ref2045 \h </w:instrText>
      </w:r>
      <w:r>
        <w:rPr>
          <w:rFonts w:hint="default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highlight w:val="none"/>
        </w:rPr>
        <w:t xml:space="preserve">图 </w:t>
      </w: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STYLEREF 1 \s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highlight w:val="none"/>
        </w:rPr>
        <w:t>4</w:t>
      </w:r>
      <w:r>
        <w:rPr>
          <w:rFonts w:hint="default" w:ascii="Times New Roman" w:hAnsi="Times New Roman" w:cs="Times New Roman"/>
          <w:highlight w:val="none"/>
        </w:rPr>
        <w:fldChar w:fldCharType="end"/>
      </w:r>
      <w:r>
        <w:rPr>
          <w:rFonts w:hint="default" w:ascii="Times New Roman" w:hAnsi="Times New Roman" w:cs="Times New Roman"/>
          <w:highlight w:val="none"/>
        </w:rPr>
        <w:t>-3</w:t>
      </w:r>
      <w:r>
        <w:rPr>
          <w:rFonts w:hint="default"/>
          <w:highlight w:val="none"/>
          <w:lang w:val="en-US"/>
        </w:rPr>
        <w:fldChar w:fldCharType="end"/>
      </w:r>
      <w:r>
        <w:rPr>
          <w:rFonts w:hint="default"/>
          <w:highlight w:val="none"/>
        </w:rPr>
        <w:t>。</w:t>
      </w:r>
    </w:p>
    <w:p w14:paraId="1071195B">
      <w:pPr>
        <w:pStyle w:val="60"/>
        <w:bidi w:val="0"/>
        <w:rPr>
          <w:rFonts w:hint="default"/>
          <w:highlight w:val="none"/>
        </w:rPr>
      </w:pPr>
    </w:p>
    <w:p w14:paraId="56EF7EBD">
      <w:pPr>
        <w:pStyle w:val="60"/>
        <w:bidi w:val="0"/>
        <w:rPr>
          <w:rFonts w:hint="default"/>
          <w:highlight w:val="none"/>
        </w:rPr>
      </w:pPr>
    </w:p>
    <w:p w14:paraId="140F940F">
      <w:pPr>
        <w:pStyle w:val="61"/>
        <w:bidi w:val="0"/>
        <w:rPr>
          <w:highlight w:val="none"/>
        </w:rPr>
      </w:pPr>
      <w:bookmarkStart w:id="95" w:name="_Ref1980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bookmarkEnd w:id="95"/>
      <w:r>
        <w:rPr>
          <w:highlight w:val="none"/>
        </w:rPr>
        <w:t xml:space="preserve"> </w:t>
      </w:r>
      <w:r>
        <w:rPr>
          <w:rFonts w:hint="default"/>
          <w:highlight w:val="none"/>
        </w:rPr>
        <w:t>车流量统计表</w:t>
      </w:r>
      <w:bookmarkStart w:id="96" w:name="_Ref32387"/>
    </w:p>
    <w:tbl>
      <w:tblPr>
        <w:tblStyle w:val="3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078"/>
        <w:gridCol w:w="1073"/>
        <w:gridCol w:w="1027"/>
        <w:gridCol w:w="1038"/>
        <w:gridCol w:w="1085"/>
        <w:gridCol w:w="1073"/>
        <w:gridCol w:w="1061"/>
        <w:gridCol w:w="1039"/>
      </w:tblGrid>
      <w:tr w14:paraId="4A7DB9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3808F456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bottom"/>
          </w:tcPr>
          <w:p w14:paraId="464C9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月1日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3412C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月2日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bottom"/>
          </w:tcPr>
          <w:p w14:paraId="20AB0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月3日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bottom"/>
          </w:tcPr>
          <w:p w14:paraId="74670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日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bottom"/>
          </w:tcPr>
          <w:p w14:paraId="2AEAB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月5日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384B4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月6日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bottom"/>
          </w:tcPr>
          <w:p w14:paraId="3BCC5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月7日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bottom"/>
          </w:tcPr>
          <w:p w14:paraId="2F7AC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月8日</w:t>
            </w:r>
          </w:p>
        </w:tc>
      </w:tr>
      <w:tr w14:paraId="6B4881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130139D6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上行车数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75021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37136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21C1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36152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E19F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36063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4D616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36769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69D24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39487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89B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38541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5E39B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37141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74AC1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36680</w:t>
            </w:r>
          </w:p>
        </w:tc>
      </w:tr>
      <w:tr w14:paraId="7EF83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2880F5D9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  <w:lang w:val="en-US" w:eastAsia="zh-CN"/>
              </w:rPr>
              <w:t>下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39905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37107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4F2AD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35850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B353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35808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23E83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36642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56CA2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39209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AAC6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38569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76E48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4CA0F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36124</w:t>
            </w:r>
          </w:p>
        </w:tc>
      </w:tr>
      <w:tr w14:paraId="4E9F09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3984C369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车辆总数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7AE39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74243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3D412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72002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D7A5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71871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0E122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73411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1F6FB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78696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15BC7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77110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4D5FB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73741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12932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72804</w:t>
            </w:r>
          </w:p>
        </w:tc>
      </w:tr>
      <w:tr w14:paraId="12975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14907140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bottom"/>
          </w:tcPr>
          <w:p w14:paraId="46921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12月9日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63E96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12月10日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bottom"/>
          </w:tcPr>
          <w:p w14:paraId="7C401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12月11日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bottom"/>
          </w:tcPr>
          <w:p w14:paraId="2F4DB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12月12日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bottom"/>
          </w:tcPr>
          <w:p w14:paraId="0EC52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12月13日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01FC8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12月14日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bottom"/>
          </w:tcPr>
          <w:p w14:paraId="162E0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12月15日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bottom"/>
          </w:tcPr>
          <w:p w14:paraId="700A2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12月16日</w:t>
            </w:r>
          </w:p>
        </w:tc>
      </w:tr>
      <w:tr w14:paraId="4506C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6F4A8ED8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上行车数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53C2D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35811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5E93A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36287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4769D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36782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059F1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38030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570C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37878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4AED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36434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6FEF4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36612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702DC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35854</w:t>
            </w:r>
          </w:p>
        </w:tc>
      </w:tr>
      <w:tr w14:paraId="0DF8DA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50FB8D8D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  <w:lang w:val="en-US" w:eastAsia="zh-CN"/>
              </w:rPr>
              <w:t>下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77F8D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35604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3913F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36272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10B1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36286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3FC13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37607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2B384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37523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BA64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35416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5A332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35917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7624D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35635</w:t>
            </w:r>
          </w:p>
        </w:tc>
      </w:tr>
      <w:tr w14:paraId="20613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27B81F3D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车辆总数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353FD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71415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2767F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72559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7B19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73068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5051E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75637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1E380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75401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44755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71850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2BE5C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72529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1C7DE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71489</w:t>
            </w:r>
          </w:p>
        </w:tc>
      </w:tr>
      <w:tr w14:paraId="65810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5E1B721C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bottom"/>
          </w:tcPr>
          <w:p w14:paraId="01F9F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12月17日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01AFB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12月18日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bottom"/>
          </w:tcPr>
          <w:p w14:paraId="316D9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12月19日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bottom"/>
          </w:tcPr>
          <w:p w14:paraId="6D0F9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12月20日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bottom"/>
          </w:tcPr>
          <w:p w14:paraId="23D23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12月21日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4619B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12月22日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bottom"/>
          </w:tcPr>
          <w:p w14:paraId="74A98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12月23日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bottom"/>
          </w:tcPr>
          <w:p w14:paraId="3D0C6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12月24日</w:t>
            </w:r>
          </w:p>
        </w:tc>
      </w:tr>
      <w:tr w14:paraId="2F2CDD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692B0E64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上行车数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2DC4D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35737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6EF9E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36318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201A1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39403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1C271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37878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7BC34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36881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34E9A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37059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579EC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36625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2B8A1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37290</w:t>
            </w:r>
          </w:p>
        </w:tc>
      </w:tr>
      <w:tr w14:paraId="7334B1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751FE416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  <w:lang w:val="en-US" w:eastAsia="zh-CN"/>
              </w:rPr>
              <w:t>下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2A7E8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35715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0BAF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36194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545B7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38860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0D0EA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37860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63BD3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36187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271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37051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3310B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36602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24261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37291</w:t>
            </w:r>
          </w:p>
        </w:tc>
      </w:tr>
      <w:tr w14:paraId="4D9D89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53591CB2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车辆总数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1DF74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71452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4C88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72512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78FD3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78263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0AC64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75738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6E21C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73068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2DA2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74110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653CF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73227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4CE3B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74581</w:t>
            </w:r>
          </w:p>
        </w:tc>
      </w:tr>
      <w:tr w14:paraId="31A50E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137DEC8B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bottom"/>
          </w:tcPr>
          <w:p w14:paraId="67E41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12月25日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6B864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12月26日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bottom"/>
          </w:tcPr>
          <w:p w14:paraId="673CA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12月27日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bottom"/>
          </w:tcPr>
          <w:p w14:paraId="4FCD4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12月28日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bottom"/>
          </w:tcPr>
          <w:p w14:paraId="58B93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12月29日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bottom"/>
          </w:tcPr>
          <w:p w14:paraId="438C3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12月30日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bottom"/>
          </w:tcPr>
          <w:p w14:paraId="6FD89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12月31日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bottom"/>
          </w:tcPr>
          <w:p w14:paraId="2E35C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总计</w:t>
            </w:r>
          </w:p>
        </w:tc>
      </w:tr>
      <w:tr w14:paraId="3E8FD7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71B508C4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上行车数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46DE0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37421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29917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40238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786C9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38286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35B65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36269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0435D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37371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2576F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37831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4B49C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42494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7D595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1158758</w:t>
            </w:r>
          </w:p>
        </w:tc>
      </w:tr>
      <w:tr w14:paraId="3D3ECD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6AC79E07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  <w:lang w:val="en-US" w:eastAsia="zh-CN"/>
              </w:rPr>
              <w:t>下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行车数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04386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37204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1321B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39929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141AD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38257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53A37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35763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5F03C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37281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1691C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37865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0225B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42290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5BCA8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1150518</w:t>
            </w:r>
          </w:p>
        </w:tc>
      </w:tr>
      <w:tr w14:paraId="0E73E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2" w:type="dxa"/>
            <w:tcBorders>
              <w:tl2br w:val="nil"/>
              <w:tr2bl w:val="nil"/>
            </w:tcBorders>
            <w:noWrap w:val="0"/>
            <w:vAlign w:val="center"/>
          </w:tcPr>
          <w:p w14:paraId="2E649ABB">
            <w:pPr>
              <w:pStyle w:val="70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  <w:t>车辆总数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748B1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74625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0BFD3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80167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noWrap w:val="0"/>
            <w:vAlign w:val="center"/>
          </w:tcPr>
          <w:p w14:paraId="41F84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76543</w:t>
            </w:r>
          </w:p>
        </w:tc>
        <w:tc>
          <w:tcPr>
            <w:tcW w:w="1038" w:type="dxa"/>
            <w:tcBorders>
              <w:tl2br w:val="nil"/>
              <w:tr2bl w:val="nil"/>
            </w:tcBorders>
            <w:noWrap w:val="0"/>
            <w:vAlign w:val="center"/>
          </w:tcPr>
          <w:p w14:paraId="10A51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72032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noWrap w:val="0"/>
            <w:vAlign w:val="center"/>
          </w:tcPr>
          <w:p w14:paraId="65B1F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74652</w:t>
            </w:r>
          </w:p>
        </w:tc>
        <w:tc>
          <w:tcPr>
            <w:tcW w:w="1073" w:type="dxa"/>
            <w:tcBorders>
              <w:tl2br w:val="nil"/>
              <w:tr2bl w:val="nil"/>
            </w:tcBorders>
            <w:noWrap w:val="0"/>
            <w:vAlign w:val="center"/>
          </w:tcPr>
          <w:p w14:paraId="71E6C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75696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noWrap w:val="0"/>
            <w:vAlign w:val="center"/>
          </w:tcPr>
          <w:p w14:paraId="314E7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84784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noWrap w:val="0"/>
            <w:vAlign w:val="center"/>
          </w:tcPr>
          <w:p w14:paraId="661CE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2309276</w:t>
            </w:r>
          </w:p>
        </w:tc>
      </w:tr>
    </w:tbl>
    <w:p w14:paraId="50A96012">
      <w:pPr>
        <w:pStyle w:val="61"/>
        <w:bidi w:val="0"/>
        <w:jc w:val="left"/>
        <w:rPr>
          <w:rFonts w:hint="eastAsia" w:eastAsia="楷体_GB2312"/>
          <w:highlight w:val="none"/>
          <w:lang w:val="en-US" w:eastAsia="zh-CN"/>
        </w:rPr>
      </w:pPr>
      <w:bookmarkStart w:id="97" w:name="_Ref17593"/>
    </w:p>
    <w:p w14:paraId="3D474CD8">
      <w:pPr>
        <w:pStyle w:val="61"/>
        <w:bidi w:val="0"/>
        <w:rPr>
          <w:rFonts w:hint="default"/>
          <w:highlight w:val="none"/>
        </w:rPr>
      </w:pPr>
      <w:bookmarkStart w:id="98" w:name="_Ref26805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5</w:t>
      </w:r>
      <w:r>
        <w:rPr>
          <w:highlight w:val="none"/>
        </w:rPr>
        <w:fldChar w:fldCharType="end"/>
      </w:r>
      <w:bookmarkEnd w:id="96"/>
      <w:bookmarkEnd w:id="97"/>
      <w:bookmarkEnd w:id="98"/>
      <w:r>
        <w:rPr>
          <w:highlight w:val="none"/>
        </w:rPr>
        <w:t xml:space="preserve"> </w:t>
      </w:r>
      <w:r>
        <w:rPr>
          <w:rFonts w:hint="default"/>
          <w:highlight w:val="none"/>
        </w:rPr>
        <w:t>前10</w:t>
      </w:r>
      <w:r>
        <w:rPr>
          <w:rFonts w:hint="eastAsia"/>
          <w:highlight w:val="none"/>
          <w:lang w:val="en-US" w:eastAsia="zh-CN"/>
        </w:rPr>
        <w:t>总重</w:t>
      </w:r>
      <w:r>
        <w:rPr>
          <w:rFonts w:hint="default"/>
          <w:highlight w:val="none"/>
        </w:rPr>
        <w:t>最重车辆参数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719"/>
        <w:gridCol w:w="1661"/>
        <w:gridCol w:w="704"/>
        <w:gridCol w:w="1186"/>
        <w:gridCol w:w="1261"/>
      </w:tblGrid>
      <w:tr w14:paraId="1E0DDB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4AA38541">
            <w:pPr>
              <w:pStyle w:val="74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719" w:type="dxa"/>
            <w:noWrap w:val="0"/>
            <w:vAlign w:val="center"/>
          </w:tcPr>
          <w:p w14:paraId="129DF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车道</w:t>
            </w:r>
          </w:p>
        </w:tc>
        <w:tc>
          <w:tcPr>
            <w:tcW w:w="1661" w:type="dxa"/>
            <w:noWrap w:val="0"/>
            <w:vAlign w:val="center"/>
          </w:tcPr>
          <w:p w14:paraId="051FF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时间</w:t>
            </w:r>
          </w:p>
        </w:tc>
        <w:tc>
          <w:tcPr>
            <w:tcW w:w="704" w:type="dxa"/>
            <w:noWrap w:val="0"/>
            <w:vAlign w:val="center"/>
          </w:tcPr>
          <w:p w14:paraId="1AE4E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轴数</w:t>
            </w:r>
          </w:p>
        </w:tc>
        <w:tc>
          <w:tcPr>
            <w:tcW w:w="1186" w:type="dxa"/>
            <w:noWrap w:val="0"/>
            <w:vAlign w:val="center"/>
          </w:tcPr>
          <w:p w14:paraId="4E648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总重（kg）</w:t>
            </w:r>
          </w:p>
        </w:tc>
        <w:tc>
          <w:tcPr>
            <w:tcW w:w="1261" w:type="dxa"/>
            <w:noWrap w:val="0"/>
            <w:vAlign w:val="center"/>
          </w:tcPr>
          <w:p w14:paraId="05AFE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车速（km/h）</w:t>
            </w:r>
          </w:p>
        </w:tc>
      </w:tr>
      <w:tr w14:paraId="0840D4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5393E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19" w:type="dxa"/>
            <w:noWrap w:val="0"/>
            <w:vAlign w:val="center"/>
          </w:tcPr>
          <w:p w14:paraId="6B459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661" w:type="dxa"/>
            <w:noWrap w:val="0"/>
            <w:vAlign w:val="center"/>
          </w:tcPr>
          <w:p w14:paraId="28FCB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2025-12-03 20:50:44</w:t>
            </w:r>
          </w:p>
        </w:tc>
        <w:tc>
          <w:tcPr>
            <w:tcW w:w="704" w:type="dxa"/>
            <w:noWrap w:val="0"/>
            <w:vAlign w:val="center"/>
          </w:tcPr>
          <w:p w14:paraId="1FC05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3543D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145420</w:t>
            </w:r>
          </w:p>
        </w:tc>
        <w:tc>
          <w:tcPr>
            <w:tcW w:w="1261" w:type="dxa"/>
            <w:noWrap w:val="0"/>
            <w:vAlign w:val="center"/>
          </w:tcPr>
          <w:p w14:paraId="0C867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46</w:t>
            </w:r>
          </w:p>
        </w:tc>
      </w:tr>
      <w:tr w14:paraId="08453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59EB6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719" w:type="dxa"/>
            <w:noWrap w:val="0"/>
            <w:vAlign w:val="center"/>
          </w:tcPr>
          <w:p w14:paraId="0627B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661" w:type="dxa"/>
            <w:noWrap w:val="0"/>
            <w:vAlign w:val="center"/>
          </w:tcPr>
          <w:p w14:paraId="5DCDD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2025-12-04 12:41:39</w:t>
            </w:r>
          </w:p>
        </w:tc>
        <w:tc>
          <w:tcPr>
            <w:tcW w:w="704" w:type="dxa"/>
            <w:noWrap w:val="0"/>
            <w:vAlign w:val="center"/>
          </w:tcPr>
          <w:p w14:paraId="3BA1C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49554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142620</w:t>
            </w:r>
          </w:p>
        </w:tc>
        <w:tc>
          <w:tcPr>
            <w:tcW w:w="1261" w:type="dxa"/>
            <w:noWrap w:val="0"/>
            <w:vAlign w:val="center"/>
          </w:tcPr>
          <w:p w14:paraId="5C31B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48</w:t>
            </w:r>
          </w:p>
        </w:tc>
      </w:tr>
      <w:tr w14:paraId="6C19D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74CB7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719" w:type="dxa"/>
            <w:noWrap w:val="0"/>
            <w:vAlign w:val="center"/>
          </w:tcPr>
          <w:p w14:paraId="482B3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661" w:type="dxa"/>
            <w:noWrap w:val="0"/>
            <w:vAlign w:val="center"/>
          </w:tcPr>
          <w:p w14:paraId="78F68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2025-12-10 19:51:15</w:t>
            </w:r>
          </w:p>
        </w:tc>
        <w:tc>
          <w:tcPr>
            <w:tcW w:w="704" w:type="dxa"/>
            <w:noWrap w:val="0"/>
            <w:vAlign w:val="center"/>
          </w:tcPr>
          <w:p w14:paraId="7481E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48741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102020</w:t>
            </w:r>
          </w:p>
        </w:tc>
        <w:tc>
          <w:tcPr>
            <w:tcW w:w="1261" w:type="dxa"/>
            <w:noWrap w:val="0"/>
            <w:vAlign w:val="center"/>
          </w:tcPr>
          <w:p w14:paraId="7D0F3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</w:t>
            </w:r>
          </w:p>
        </w:tc>
      </w:tr>
      <w:tr w14:paraId="01BED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B313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19" w:type="dxa"/>
            <w:noWrap w:val="0"/>
            <w:vAlign w:val="center"/>
          </w:tcPr>
          <w:p w14:paraId="3759F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661" w:type="dxa"/>
            <w:noWrap w:val="0"/>
            <w:vAlign w:val="center"/>
          </w:tcPr>
          <w:p w14:paraId="5654C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2025-12-10 23:51:32</w:t>
            </w:r>
          </w:p>
        </w:tc>
        <w:tc>
          <w:tcPr>
            <w:tcW w:w="704" w:type="dxa"/>
            <w:noWrap w:val="0"/>
            <w:vAlign w:val="center"/>
          </w:tcPr>
          <w:p w14:paraId="13DCB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3D4A1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105110</w:t>
            </w:r>
          </w:p>
        </w:tc>
        <w:tc>
          <w:tcPr>
            <w:tcW w:w="1261" w:type="dxa"/>
            <w:noWrap w:val="0"/>
            <w:vAlign w:val="center"/>
          </w:tcPr>
          <w:p w14:paraId="686FE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30</w:t>
            </w:r>
          </w:p>
        </w:tc>
      </w:tr>
      <w:tr w14:paraId="0E1BF4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13D4B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719" w:type="dxa"/>
            <w:noWrap w:val="0"/>
            <w:vAlign w:val="center"/>
          </w:tcPr>
          <w:p w14:paraId="561E9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661" w:type="dxa"/>
            <w:noWrap w:val="0"/>
            <w:vAlign w:val="center"/>
          </w:tcPr>
          <w:p w14:paraId="02767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2025-12-13 20:35:31</w:t>
            </w:r>
          </w:p>
        </w:tc>
        <w:tc>
          <w:tcPr>
            <w:tcW w:w="704" w:type="dxa"/>
            <w:noWrap w:val="0"/>
            <w:vAlign w:val="center"/>
          </w:tcPr>
          <w:p w14:paraId="748D5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2D53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127860</w:t>
            </w:r>
          </w:p>
        </w:tc>
        <w:tc>
          <w:tcPr>
            <w:tcW w:w="1261" w:type="dxa"/>
            <w:noWrap w:val="0"/>
            <w:vAlign w:val="center"/>
          </w:tcPr>
          <w:p w14:paraId="2FDA2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38</w:t>
            </w:r>
          </w:p>
        </w:tc>
      </w:tr>
      <w:tr w14:paraId="60A673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3D66A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719" w:type="dxa"/>
            <w:noWrap w:val="0"/>
            <w:vAlign w:val="center"/>
          </w:tcPr>
          <w:p w14:paraId="1A86E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661" w:type="dxa"/>
            <w:noWrap w:val="0"/>
            <w:vAlign w:val="center"/>
          </w:tcPr>
          <w:p w14:paraId="2D5D6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2025-12-14 22:03:31</w:t>
            </w:r>
          </w:p>
        </w:tc>
        <w:tc>
          <w:tcPr>
            <w:tcW w:w="704" w:type="dxa"/>
            <w:noWrap w:val="0"/>
            <w:vAlign w:val="center"/>
          </w:tcPr>
          <w:p w14:paraId="534CB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194E6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100160</w:t>
            </w:r>
          </w:p>
        </w:tc>
        <w:tc>
          <w:tcPr>
            <w:tcW w:w="1261" w:type="dxa"/>
            <w:noWrap w:val="0"/>
            <w:vAlign w:val="center"/>
          </w:tcPr>
          <w:p w14:paraId="2F643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</w:t>
            </w:r>
          </w:p>
        </w:tc>
      </w:tr>
      <w:tr w14:paraId="34FD92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7C3F5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19" w:type="dxa"/>
            <w:noWrap w:val="0"/>
            <w:vAlign w:val="center"/>
          </w:tcPr>
          <w:p w14:paraId="12B3F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661" w:type="dxa"/>
            <w:noWrap w:val="0"/>
            <w:vAlign w:val="center"/>
          </w:tcPr>
          <w:p w14:paraId="76467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2025-12-20 21:56:17</w:t>
            </w:r>
          </w:p>
        </w:tc>
        <w:tc>
          <w:tcPr>
            <w:tcW w:w="704" w:type="dxa"/>
            <w:noWrap w:val="0"/>
            <w:vAlign w:val="center"/>
          </w:tcPr>
          <w:p w14:paraId="2B703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4BF27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114400</w:t>
            </w:r>
          </w:p>
        </w:tc>
        <w:tc>
          <w:tcPr>
            <w:tcW w:w="1261" w:type="dxa"/>
            <w:noWrap w:val="0"/>
            <w:vAlign w:val="center"/>
          </w:tcPr>
          <w:p w14:paraId="676D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36</w:t>
            </w:r>
          </w:p>
        </w:tc>
      </w:tr>
      <w:tr w14:paraId="674DB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3D0D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719" w:type="dxa"/>
            <w:noWrap w:val="0"/>
            <w:vAlign w:val="center"/>
          </w:tcPr>
          <w:p w14:paraId="4A38C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661" w:type="dxa"/>
            <w:noWrap w:val="0"/>
            <w:vAlign w:val="center"/>
          </w:tcPr>
          <w:p w14:paraId="16EDE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2025-12-21 04:36:46</w:t>
            </w:r>
          </w:p>
        </w:tc>
        <w:tc>
          <w:tcPr>
            <w:tcW w:w="704" w:type="dxa"/>
            <w:noWrap w:val="0"/>
            <w:vAlign w:val="center"/>
          </w:tcPr>
          <w:p w14:paraId="532EA4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3D74E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100640</w:t>
            </w:r>
          </w:p>
        </w:tc>
        <w:tc>
          <w:tcPr>
            <w:tcW w:w="1261" w:type="dxa"/>
            <w:noWrap w:val="0"/>
            <w:vAlign w:val="center"/>
          </w:tcPr>
          <w:p w14:paraId="17970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49</w:t>
            </w:r>
          </w:p>
        </w:tc>
      </w:tr>
      <w:tr w14:paraId="3022EE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0631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9</w:t>
            </w:r>
          </w:p>
        </w:tc>
        <w:tc>
          <w:tcPr>
            <w:tcW w:w="719" w:type="dxa"/>
            <w:noWrap w:val="0"/>
            <w:vAlign w:val="center"/>
          </w:tcPr>
          <w:p w14:paraId="3D60B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661" w:type="dxa"/>
            <w:noWrap w:val="0"/>
            <w:vAlign w:val="center"/>
          </w:tcPr>
          <w:p w14:paraId="66F3F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2025-12-22 00:14:30</w:t>
            </w:r>
          </w:p>
        </w:tc>
        <w:tc>
          <w:tcPr>
            <w:tcW w:w="704" w:type="dxa"/>
            <w:noWrap w:val="0"/>
            <w:vAlign w:val="center"/>
          </w:tcPr>
          <w:p w14:paraId="50967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0CA48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101680</w:t>
            </w:r>
          </w:p>
        </w:tc>
        <w:tc>
          <w:tcPr>
            <w:tcW w:w="1261" w:type="dxa"/>
            <w:noWrap w:val="0"/>
            <w:vAlign w:val="center"/>
          </w:tcPr>
          <w:p w14:paraId="66F12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</w:t>
            </w:r>
          </w:p>
        </w:tc>
      </w:tr>
      <w:tr w14:paraId="4D2FE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50804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10</w:t>
            </w:r>
          </w:p>
        </w:tc>
        <w:tc>
          <w:tcPr>
            <w:tcW w:w="719" w:type="dxa"/>
            <w:noWrap w:val="0"/>
            <w:vAlign w:val="center"/>
          </w:tcPr>
          <w:p w14:paraId="53182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661" w:type="dxa"/>
            <w:noWrap w:val="0"/>
            <w:vAlign w:val="center"/>
          </w:tcPr>
          <w:p w14:paraId="30349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2025-12-26 21:55:56</w:t>
            </w:r>
          </w:p>
        </w:tc>
        <w:tc>
          <w:tcPr>
            <w:tcW w:w="704" w:type="dxa"/>
            <w:noWrap w:val="0"/>
            <w:vAlign w:val="center"/>
          </w:tcPr>
          <w:p w14:paraId="48024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1186" w:type="dxa"/>
            <w:noWrap w:val="0"/>
            <w:vAlign w:val="center"/>
          </w:tcPr>
          <w:p w14:paraId="24F0E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120520</w:t>
            </w:r>
          </w:p>
        </w:tc>
        <w:tc>
          <w:tcPr>
            <w:tcW w:w="1261" w:type="dxa"/>
            <w:noWrap w:val="0"/>
            <w:vAlign w:val="center"/>
          </w:tcPr>
          <w:p w14:paraId="52B97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</w:t>
            </w:r>
          </w:p>
        </w:tc>
      </w:tr>
    </w:tbl>
    <w:p w14:paraId="0DE7D678">
      <w:pPr>
        <w:pStyle w:val="61"/>
        <w:jc w:val="left"/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t>续</w: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begin"/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instrText xml:space="preserve"> REF _Ref26805 \h </w:instrTex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-5</w: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end"/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910"/>
        <w:gridCol w:w="762"/>
        <w:gridCol w:w="690"/>
        <w:gridCol w:w="792"/>
        <w:gridCol w:w="721"/>
        <w:gridCol w:w="823"/>
        <w:gridCol w:w="669"/>
        <w:gridCol w:w="710"/>
        <w:gridCol w:w="751"/>
        <w:gridCol w:w="749"/>
        <w:gridCol w:w="749"/>
      </w:tblGrid>
      <w:tr w14:paraId="5DA23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  <w:jc w:val="center"/>
        </w:trPr>
        <w:tc>
          <w:tcPr>
            <w:tcW w:w="558" w:type="dxa"/>
            <w:noWrap w:val="0"/>
            <w:vAlign w:val="center"/>
          </w:tcPr>
          <w:p w14:paraId="1DC61BE3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910" w:type="dxa"/>
            <w:noWrap w:val="0"/>
            <w:vAlign w:val="center"/>
          </w:tcPr>
          <w:p w14:paraId="126505D5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轴1重</w:t>
            </w:r>
          </w:p>
          <w:p w14:paraId="6B5EA2D0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62" w:type="dxa"/>
            <w:noWrap w:val="0"/>
            <w:vAlign w:val="center"/>
          </w:tcPr>
          <w:p w14:paraId="7FDBA1EC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轴2重</w:t>
            </w:r>
          </w:p>
          <w:p w14:paraId="2ADC1B79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690" w:type="dxa"/>
            <w:noWrap w:val="0"/>
            <w:vAlign w:val="center"/>
          </w:tcPr>
          <w:p w14:paraId="33368552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轴3重</w:t>
            </w:r>
          </w:p>
          <w:p w14:paraId="36243996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92" w:type="dxa"/>
            <w:noWrap w:val="0"/>
            <w:vAlign w:val="center"/>
          </w:tcPr>
          <w:p w14:paraId="0590CBC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轴4重</w:t>
            </w:r>
          </w:p>
          <w:p w14:paraId="47BE8DA2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21" w:type="dxa"/>
            <w:noWrap w:val="0"/>
            <w:vAlign w:val="center"/>
          </w:tcPr>
          <w:p w14:paraId="138E5285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轴5重</w:t>
            </w:r>
          </w:p>
          <w:p w14:paraId="17ED7437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823" w:type="dxa"/>
            <w:noWrap w:val="0"/>
            <w:vAlign w:val="center"/>
          </w:tcPr>
          <w:p w14:paraId="087BDAD0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轴6重</w:t>
            </w:r>
          </w:p>
          <w:p w14:paraId="21E9F3D5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669" w:type="dxa"/>
            <w:noWrap w:val="0"/>
            <w:vAlign w:val="center"/>
          </w:tcPr>
          <w:p w14:paraId="1F00021E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轴距1</w:t>
            </w:r>
          </w:p>
          <w:p w14:paraId="2F91757C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10" w:type="dxa"/>
            <w:noWrap w:val="0"/>
            <w:vAlign w:val="center"/>
          </w:tcPr>
          <w:p w14:paraId="63877C20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轴距2</w:t>
            </w:r>
          </w:p>
          <w:p w14:paraId="53AEC03E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51" w:type="dxa"/>
            <w:noWrap w:val="0"/>
            <w:vAlign w:val="center"/>
          </w:tcPr>
          <w:p w14:paraId="173C7C49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轴距3</w:t>
            </w:r>
          </w:p>
          <w:p w14:paraId="7A36F64A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49" w:type="dxa"/>
            <w:noWrap w:val="0"/>
            <w:vAlign w:val="center"/>
          </w:tcPr>
          <w:p w14:paraId="2AD680B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轴距4</w:t>
            </w:r>
          </w:p>
          <w:p w14:paraId="1167E342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49" w:type="dxa"/>
            <w:noWrap w:val="0"/>
            <w:vAlign w:val="center"/>
          </w:tcPr>
          <w:p w14:paraId="5B496CA8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轴距5</w:t>
            </w:r>
          </w:p>
          <w:p w14:paraId="7DC0CCD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</w:tr>
      <w:tr w14:paraId="0249C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77BF7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910" w:type="dxa"/>
            <w:noWrap w:val="0"/>
            <w:vAlign w:val="center"/>
          </w:tcPr>
          <w:p w14:paraId="0CD5C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9060</w:t>
            </w:r>
          </w:p>
        </w:tc>
        <w:tc>
          <w:tcPr>
            <w:tcW w:w="762" w:type="dxa"/>
            <w:noWrap w:val="0"/>
            <w:vAlign w:val="center"/>
          </w:tcPr>
          <w:p w14:paraId="37F59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29440</w:t>
            </w:r>
          </w:p>
        </w:tc>
        <w:tc>
          <w:tcPr>
            <w:tcW w:w="690" w:type="dxa"/>
            <w:noWrap w:val="0"/>
            <w:vAlign w:val="center"/>
          </w:tcPr>
          <w:p w14:paraId="7F6FE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27860</w:t>
            </w:r>
          </w:p>
        </w:tc>
        <w:tc>
          <w:tcPr>
            <w:tcW w:w="792" w:type="dxa"/>
            <w:noWrap w:val="0"/>
            <w:vAlign w:val="center"/>
          </w:tcPr>
          <w:p w14:paraId="6AD65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25680</w:t>
            </w:r>
          </w:p>
        </w:tc>
        <w:tc>
          <w:tcPr>
            <w:tcW w:w="721" w:type="dxa"/>
            <w:noWrap w:val="0"/>
            <w:vAlign w:val="center"/>
          </w:tcPr>
          <w:p w14:paraId="6F01C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27760</w:t>
            </w:r>
          </w:p>
        </w:tc>
        <w:tc>
          <w:tcPr>
            <w:tcW w:w="823" w:type="dxa"/>
            <w:noWrap w:val="0"/>
            <w:vAlign w:val="center"/>
          </w:tcPr>
          <w:p w14:paraId="41C87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25620</w:t>
            </w:r>
          </w:p>
        </w:tc>
        <w:tc>
          <w:tcPr>
            <w:tcW w:w="669" w:type="dxa"/>
            <w:noWrap w:val="0"/>
            <w:vAlign w:val="center"/>
          </w:tcPr>
          <w:p w14:paraId="4F8B7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3.232</w:t>
            </w:r>
          </w:p>
        </w:tc>
        <w:tc>
          <w:tcPr>
            <w:tcW w:w="710" w:type="dxa"/>
            <w:noWrap w:val="0"/>
            <w:vAlign w:val="center"/>
          </w:tcPr>
          <w:p w14:paraId="173D0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1.354</w:t>
            </w:r>
          </w:p>
        </w:tc>
        <w:tc>
          <w:tcPr>
            <w:tcW w:w="751" w:type="dxa"/>
            <w:noWrap w:val="0"/>
            <w:vAlign w:val="center"/>
          </w:tcPr>
          <w:p w14:paraId="2B4BE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5.328</w:t>
            </w:r>
          </w:p>
        </w:tc>
        <w:tc>
          <w:tcPr>
            <w:tcW w:w="749" w:type="dxa"/>
            <w:noWrap w:val="0"/>
            <w:vAlign w:val="center"/>
          </w:tcPr>
          <w:p w14:paraId="3F44B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1.341</w:t>
            </w:r>
          </w:p>
        </w:tc>
        <w:tc>
          <w:tcPr>
            <w:tcW w:w="749" w:type="dxa"/>
            <w:noWrap w:val="0"/>
            <w:vAlign w:val="center"/>
          </w:tcPr>
          <w:p w14:paraId="43A7D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1.265</w:t>
            </w:r>
          </w:p>
        </w:tc>
      </w:tr>
      <w:tr w14:paraId="010DAD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53351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910" w:type="dxa"/>
            <w:noWrap w:val="0"/>
            <w:vAlign w:val="center"/>
          </w:tcPr>
          <w:p w14:paraId="551ED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9200</w:t>
            </w:r>
          </w:p>
        </w:tc>
        <w:tc>
          <w:tcPr>
            <w:tcW w:w="762" w:type="dxa"/>
            <w:noWrap w:val="0"/>
            <w:vAlign w:val="center"/>
          </w:tcPr>
          <w:p w14:paraId="21FE4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28460</w:t>
            </w:r>
          </w:p>
        </w:tc>
        <w:tc>
          <w:tcPr>
            <w:tcW w:w="690" w:type="dxa"/>
            <w:noWrap w:val="0"/>
            <w:vAlign w:val="center"/>
          </w:tcPr>
          <w:p w14:paraId="36232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26760</w:t>
            </w:r>
          </w:p>
        </w:tc>
        <w:tc>
          <w:tcPr>
            <w:tcW w:w="792" w:type="dxa"/>
            <w:noWrap w:val="0"/>
            <w:vAlign w:val="center"/>
          </w:tcPr>
          <w:p w14:paraId="027B2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24500</w:t>
            </w:r>
          </w:p>
        </w:tc>
        <w:tc>
          <w:tcPr>
            <w:tcW w:w="721" w:type="dxa"/>
            <w:noWrap w:val="0"/>
            <w:vAlign w:val="center"/>
          </w:tcPr>
          <w:p w14:paraId="69AE7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28020</w:t>
            </w:r>
          </w:p>
        </w:tc>
        <w:tc>
          <w:tcPr>
            <w:tcW w:w="823" w:type="dxa"/>
            <w:noWrap w:val="0"/>
            <w:vAlign w:val="center"/>
          </w:tcPr>
          <w:p w14:paraId="48601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25680</w:t>
            </w:r>
          </w:p>
        </w:tc>
        <w:tc>
          <w:tcPr>
            <w:tcW w:w="669" w:type="dxa"/>
            <w:noWrap w:val="0"/>
            <w:vAlign w:val="center"/>
          </w:tcPr>
          <w:p w14:paraId="41C9E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3.186</w:t>
            </w:r>
          </w:p>
        </w:tc>
        <w:tc>
          <w:tcPr>
            <w:tcW w:w="710" w:type="dxa"/>
            <w:noWrap w:val="0"/>
            <w:vAlign w:val="center"/>
          </w:tcPr>
          <w:p w14:paraId="0B79E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1.360</w:t>
            </w:r>
          </w:p>
        </w:tc>
        <w:tc>
          <w:tcPr>
            <w:tcW w:w="751" w:type="dxa"/>
            <w:noWrap w:val="0"/>
            <w:vAlign w:val="center"/>
          </w:tcPr>
          <w:p w14:paraId="153DF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3.560</w:t>
            </w:r>
          </w:p>
        </w:tc>
        <w:tc>
          <w:tcPr>
            <w:tcW w:w="749" w:type="dxa"/>
            <w:noWrap w:val="0"/>
            <w:vAlign w:val="center"/>
          </w:tcPr>
          <w:p w14:paraId="3B48B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1.266</w:t>
            </w:r>
          </w:p>
        </w:tc>
        <w:tc>
          <w:tcPr>
            <w:tcW w:w="749" w:type="dxa"/>
            <w:noWrap w:val="0"/>
            <w:vAlign w:val="center"/>
          </w:tcPr>
          <w:p w14:paraId="1C260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1.293</w:t>
            </w:r>
          </w:p>
        </w:tc>
      </w:tr>
      <w:tr w14:paraId="542CF3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D50C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910" w:type="dxa"/>
            <w:noWrap w:val="0"/>
            <w:vAlign w:val="center"/>
          </w:tcPr>
          <w:p w14:paraId="40E3F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9460</w:t>
            </w:r>
          </w:p>
        </w:tc>
        <w:tc>
          <w:tcPr>
            <w:tcW w:w="762" w:type="dxa"/>
            <w:noWrap w:val="0"/>
            <w:vAlign w:val="center"/>
          </w:tcPr>
          <w:p w14:paraId="6EEE9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14620</w:t>
            </w:r>
          </w:p>
        </w:tc>
        <w:tc>
          <w:tcPr>
            <w:tcW w:w="690" w:type="dxa"/>
            <w:noWrap w:val="0"/>
            <w:vAlign w:val="center"/>
          </w:tcPr>
          <w:p w14:paraId="20BD8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13900</w:t>
            </w:r>
          </w:p>
        </w:tc>
        <w:tc>
          <w:tcPr>
            <w:tcW w:w="792" w:type="dxa"/>
            <w:noWrap w:val="0"/>
            <w:vAlign w:val="center"/>
          </w:tcPr>
          <w:p w14:paraId="78800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22380</w:t>
            </w:r>
          </w:p>
        </w:tc>
        <w:tc>
          <w:tcPr>
            <w:tcW w:w="721" w:type="dxa"/>
            <w:noWrap w:val="0"/>
            <w:vAlign w:val="center"/>
          </w:tcPr>
          <w:p w14:paraId="18171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21620</w:t>
            </w:r>
          </w:p>
        </w:tc>
        <w:tc>
          <w:tcPr>
            <w:tcW w:w="823" w:type="dxa"/>
            <w:noWrap w:val="0"/>
            <w:vAlign w:val="center"/>
          </w:tcPr>
          <w:p w14:paraId="22B54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20040</w:t>
            </w:r>
          </w:p>
        </w:tc>
        <w:tc>
          <w:tcPr>
            <w:tcW w:w="669" w:type="dxa"/>
            <w:noWrap w:val="0"/>
            <w:vAlign w:val="center"/>
          </w:tcPr>
          <w:p w14:paraId="6209D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3.529</w:t>
            </w:r>
          </w:p>
        </w:tc>
        <w:tc>
          <w:tcPr>
            <w:tcW w:w="710" w:type="dxa"/>
            <w:noWrap w:val="0"/>
            <w:vAlign w:val="center"/>
          </w:tcPr>
          <w:p w14:paraId="06C4F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1.417</w:t>
            </w:r>
          </w:p>
        </w:tc>
        <w:tc>
          <w:tcPr>
            <w:tcW w:w="751" w:type="dxa"/>
            <w:noWrap w:val="0"/>
            <w:vAlign w:val="center"/>
          </w:tcPr>
          <w:p w14:paraId="7EF1A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3.301</w:t>
            </w:r>
          </w:p>
        </w:tc>
        <w:tc>
          <w:tcPr>
            <w:tcW w:w="749" w:type="dxa"/>
            <w:noWrap w:val="0"/>
            <w:vAlign w:val="center"/>
          </w:tcPr>
          <w:p w14:paraId="06241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1.335</w:t>
            </w:r>
          </w:p>
        </w:tc>
        <w:tc>
          <w:tcPr>
            <w:tcW w:w="749" w:type="dxa"/>
            <w:noWrap w:val="0"/>
            <w:vAlign w:val="center"/>
          </w:tcPr>
          <w:p w14:paraId="28C79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1.318</w:t>
            </w:r>
          </w:p>
        </w:tc>
      </w:tr>
      <w:tr w14:paraId="43B4A1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BF6D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910" w:type="dxa"/>
            <w:noWrap w:val="0"/>
            <w:vAlign w:val="center"/>
          </w:tcPr>
          <w:p w14:paraId="40079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9020</w:t>
            </w:r>
          </w:p>
        </w:tc>
        <w:tc>
          <w:tcPr>
            <w:tcW w:w="762" w:type="dxa"/>
            <w:noWrap w:val="0"/>
            <w:vAlign w:val="center"/>
          </w:tcPr>
          <w:p w14:paraId="023A6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14600</w:t>
            </w:r>
          </w:p>
        </w:tc>
        <w:tc>
          <w:tcPr>
            <w:tcW w:w="690" w:type="dxa"/>
            <w:noWrap w:val="0"/>
            <w:vAlign w:val="center"/>
          </w:tcPr>
          <w:p w14:paraId="70CF8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14310</w:t>
            </w:r>
          </w:p>
        </w:tc>
        <w:tc>
          <w:tcPr>
            <w:tcW w:w="792" w:type="dxa"/>
            <w:noWrap w:val="0"/>
            <w:vAlign w:val="center"/>
          </w:tcPr>
          <w:p w14:paraId="30506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22740</w:t>
            </w:r>
          </w:p>
        </w:tc>
        <w:tc>
          <w:tcPr>
            <w:tcW w:w="721" w:type="dxa"/>
            <w:noWrap w:val="0"/>
            <w:vAlign w:val="center"/>
          </w:tcPr>
          <w:p w14:paraId="5C75C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23520</w:t>
            </w:r>
          </w:p>
        </w:tc>
        <w:tc>
          <w:tcPr>
            <w:tcW w:w="823" w:type="dxa"/>
            <w:noWrap w:val="0"/>
            <w:vAlign w:val="center"/>
          </w:tcPr>
          <w:p w14:paraId="1498F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20920</w:t>
            </w:r>
          </w:p>
        </w:tc>
        <w:tc>
          <w:tcPr>
            <w:tcW w:w="669" w:type="dxa"/>
            <w:noWrap w:val="0"/>
            <w:vAlign w:val="center"/>
          </w:tcPr>
          <w:p w14:paraId="32B6E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3.241</w:t>
            </w:r>
          </w:p>
        </w:tc>
        <w:tc>
          <w:tcPr>
            <w:tcW w:w="710" w:type="dxa"/>
            <w:noWrap w:val="0"/>
            <w:vAlign w:val="center"/>
          </w:tcPr>
          <w:p w14:paraId="0CDCB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1.350</w:t>
            </w:r>
          </w:p>
        </w:tc>
        <w:tc>
          <w:tcPr>
            <w:tcW w:w="751" w:type="dxa"/>
            <w:noWrap w:val="0"/>
            <w:vAlign w:val="center"/>
          </w:tcPr>
          <w:p w14:paraId="037B2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3.141</w:t>
            </w:r>
          </w:p>
        </w:tc>
        <w:tc>
          <w:tcPr>
            <w:tcW w:w="749" w:type="dxa"/>
            <w:noWrap w:val="0"/>
            <w:vAlign w:val="center"/>
          </w:tcPr>
          <w:p w14:paraId="49CD2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1.300</w:t>
            </w:r>
          </w:p>
        </w:tc>
        <w:tc>
          <w:tcPr>
            <w:tcW w:w="749" w:type="dxa"/>
            <w:noWrap w:val="0"/>
            <w:vAlign w:val="center"/>
          </w:tcPr>
          <w:p w14:paraId="7FC19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1.266</w:t>
            </w:r>
          </w:p>
        </w:tc>
      </w:tr>
      <w:tr w14:paraId="360C3C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0F84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910" w:type="dxa"/>
            <w:noWrap w:val="0"/>
            <w:vAlign w:val="center"/>
          </w:tcPr>
          <w:p w14:paraId="2F7F6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9040</w:t>
            </w:r>
          </w:p>
        </w:tc>
        <w:tc>
          <w:tcPr>
            <w:tcW w:w="762" w:type="dxa"/>
            <w:noWrap w:val="0"/>
            <w:vAlign w:val="center"/>
          </w:tcPr>
          <w:p w14:paraId="3CAC2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25380</w:t>
            </w:r>
          </w:p>
        </w:tc>
        <w:tc>
          <w:tcPr>
            <w:tcW w:w="690" w:type="dxa"/>
            <w:noWrap w:val="0"/>
            <w:vAlign w:val="center"/>
          </w:tcPr>
          <w:p w14:paraId="7EF86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22800</w:t>
            </w:r>
          </w:p>
        </w:tc>
        <w:tc>
          <w:tcPr>
            <w:tcW w:w="792" w:type="dxa"/>
            <w:noWrap w:val="0"/>
            <w:vAlign w:val="center"/>
          </w:tcPr>
          <w:p w14:paraId="41902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25660</w:t>
            </w:r>
          </w:p>
        </w:tc>
        <w:tc>
          <w:tcPr>
            <w:tcW w:w="721" w:type="dxa"/>
            <w:noWrap w:val="0"/>
            <w:vAlign w:val="center"/>
          </w:tcPr>
          <w:p w14:paraId="034C1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21320</w:t>
            </w:r>
          </w:p>
        </w:tc>
        <w:tc>
          <w:tcPr>
            <w:tcW w:w="823" w:type="dxa"/>
            <w:noWrap w:val="0"/>
            <w:vAlign w:val="center"/>
          </w:tcPr>
          <w:p w14:paraId="7144B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23660</w:t>
            </w:r>
          </w:p>
        </w:tc>
        <w:tc>
          <w:tcPr>
            <w:tcW w:w="669" w:type="dxa"/>
            <w:noWrap w:val="0"/>
            <w:vAlign w:val="center"/>
          </w:tcPr>
          <w:p w14:paraId="0015F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3.251</w:t>
            </w:r>
          </w:p>
        </w:tc>
        <w:tc>
          <w:tcPr>
            <w:tcW w:w="710" w:type="dxa"/>
            <w:noWrap w:val="0"/>
            <w:vAlign w:val="center"/>
          </w:tcPr>
          <w:p w14:paraId="7BD99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1.351</w:t>
            </w:r>
          </w:p>
        </w:tc>
        <w:tc>
          <w:tcPr>
            <w:tcW w:w="751" w:type="dxa"/>
            <w:noWrap w:val="0"/>
            <w:vAlign w:val="center"/>
          </w:tcPr>
          <w:p w14:paraId="616C8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5.309</w:t>
            </w:r>
          </w:p>
        </w:tc>
        <w:tc>
          <w:tcPr>
            <w:tcW w:w="749" w:type="dxa"/>
            <w:noWrap w:val="0"/>
            <w:vAlign w:val="center"/>
          </w:tcPr>
          <w:p w14:paraId="4AEE9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1.319</w:t>
            </w:r>
          </w:p>
        </w:tc>
        <w:tc>
          <w:tcPr>
            <w:tcW w:w="749" w:type="dxa"/>
            <w:noWrap w:val="0"/>
            <w:vAlign w:val="center"/>
          </w:tcPr>
          <w:p w14:paraId="2C46C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1.256</w:t>
            </w:r>
          </w:p>
        </w:tc>
      </w:tr>
      <w:tr w14:paraId="450E2A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496E46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6</w:t>
            </w:r>
          </w:p>
        </w:tc>
        <w:tc>
          <w:tcPr>
            <w:tcW w:w="910" w:type="dxa"/>
            <w:noWrap w:val="0"/>
            <w:vAlign w:val="center"/>
          </w:tcPr>
          <w:p w14:paraId="5C48F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10600</w:t>
            </w:r>
          </w:p>
        </w:tc>
        <w:tc>
          <w:tcPr>
            <w:tcW w:w="762" w:type="dxa"/>
            <w:noWrap w:val="0"/>
            <w:vAlign w:val="center"/>
          </w:tcPr>
          <w:p w14:paraId="21E08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16740</w:t>
            </w:r>
          </w:p>
        </w:tc>
        <w:tc>
          <w:tcPr>
            <w:tcW w:w="690" w:type="dxa"/>
            <w:noWrap w:val="0"/>
            <w:vAlign w:val="center"/>
          </w:tcPr>
          <w:p w14:paraId="0AB49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15360</w:t>
            </w:r>
          </w:p>
        </w:tc>
        <w:tc>
          <w:tcPr>
            <w:tcW w:w="792" w:type="dxa"/>
            <w:noWrap w:val="0"/>
            <w:vAlign w:val="center"/>
          </w:tcPr>
          <w:p w14:paraId="3B3CD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22280</w:t>
            </w:r>
          </w:p>
        </w:tc>
        <w:tc>
          <w:tcPr>
            <w:tcW w:w="721" w:type="dxa"/>
            <w:noWrap w:val="0"/>
            <w:vAlign w:val="center"/>
          </w:tcPr>
          <w:p w14:paraId="5FC32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17240</w:t>
            </w:r>
          </w:p>
        </w:tc>
        <w:tc>
          <w:tcPr>
            <w:tcW w:w="823" w:type="dxa"/>
            <w:noWrap w:val="0"/>
            <w:vAlign w:val="center"/>
          </w:tcPr>
          <w:p w14:paraId="0B679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17940</w:t>
            </w:r>
          </w:p>
        </w:tc>
        <w:tc>
          <w:tcPr>
            <w:tcW w:w="669" w:type="dxa"/>
            <w:noWrap w:val="0"/>
            <w:vAlign w:val="center"/>
          </w:tcPr>
          <w:p w14:paraId="5A18B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3.301</w:t>
            </w:r>
          </w:p>
        </w:tc>
        <w:tc>
          <w:tcPr>
            <w:tcW w:w="710" w:type="dxa"/>
            <w:noWrap w:val="0"/>
            <w:vAlign w:val="center"/>
          </w:tcPr>
          <w:p w14:paraId="5AFF9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1.376</w:t>
            </w:r>
          </w:p>
        </w:tc>
        <w:tc>
          <w:tcPr>
            <w:tcW w:w="751" w:type="dxa"/>
            <w:noWrap w:val="0"/>
            <w:vAlign w:val="center"/>
          </w:tcPr>
          <w:p w14:paraId="1EA79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4.340</w:t>
            </w:r>
          </w:p>
        </w:tc>
        <w:tc>
          <w:tcPr>
            <w:tcW w:w="749" w:type="dxa"/>
            <w:noWrap w:val="0"/>
            <w:vAlign w:val="center"/>
          </w:tcPr>
          <w:p w14:paraId="0CA4A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1.341</w:t>
            </w:r>
          </w:p>
        </w:tc>
        <w:tc>
          <w:tcPr>
            <w:tcW w:w="749" w:type="dxa"/>
            <w:noWrap w:val="0"/>
            <w:vAlign w:val="center"/>
          </w:tcPr>
          <w:p w14:paraId="41088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1.306</w:t>
            </w:r>
          </w:p>
        </w:tc>
      </w:tr>
      <w:tr w14:paraId="6E2F28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75C10D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</w:t>
            </w:r>
          </w:p>
        </w:tc>
        <w:tc>
          <w:tcPr>
            <w:tcW w:w="910" w:type="dxa"/>
            <w:noWrap w:val="0"/>
            <w:vAlign w:val="center"/>
          </w:tcPr>
          <w:p w14:paraId="1BD30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8540</w:t>
            </w:r>
          </w:p>
        </w:tc>
        <w:tc>
          <w:tcPr>
            <w:tcW w:w="762" w:type="dxa"/>
            <w:noWrap w:val="0"/>
            <w:vAlign w:val="center"/>
          </w:tcPr>
          <w:p w14:paraId="6FEF5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15860</w:t>
            </w:r>
          </w:p>
        </w:tc>
        <w:tc>
          <w:tcPr>
            <w:tcW w:w="690" w:type="dxa"/>
            <w:noWrap w:val="0"/>
            <w:vAlign w:val="center"/>
          </w:tcPr>
          <w:p w14:paraId="3D23B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17000</w:t>
            </w:r>
          </w:p>
        </w:tc>
        <w:tc>
          <w:tcPr>
            <w:tcW w:w="792" w:type="dxa"/>
            <w:noWrap w:val="0"/>
            <w:vAlign w:val="center"/>
          </w:tcPr>
          <w:p w14:paraId="6EE12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25580</w:t>
            </w:r>
          </w:p>
        </w:tc>
        <w:tc>
          <w:tcPr>
            <w:tcW w:w="721" w:type="dxa"/>
            <w:noWrap w:val="0"/>
            <w:vAlign w:val="center"/>
          </w:tcPr>
          <w:p w14:paraId="52B57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23520</w:t>
            </w:r>
          </w:p>
        </w:tc>
        <w:tc>
          <w:tcPr>
            <w:tcW w:w="823" w:type="dxa"/>
            <w:noWrap w:val="0"/>
            <w:vAlign w:val="center"/>
          </w:tcPr>
          <w:p w14:paraId="446A4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23900</w:t>
            </w:r>
          </w:p>
        </w:tc>
        <w:tc>
          <w:tcPr>
            <w:tcW w:w="669" w:type="dxa"/>
            <w:noWrap w:val="0"/>
            <w:vAlign w:val="center"/>
          </w:tcPr>
          <w:p w14:paraId="7810B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3.190</w:t>
            </w:r>
          </w:p>
        </w:tc>
        <w:tc>
          <w:tcPr>
            <w:tcW w:w="710" w:type="dxa"/>
            <w:noWrap w:val="0"/>
            <w:vAlign w:val="center"/>
          </w:tcPr>
          <w:p w14:paraId="3A5D1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1.380</w:t>
            </w:r>
          </w:p>
        </w:tc>
        <w:tc>
          <w:tcPr>
            <w:tcW w:w="751" w:type="dxa"/>
            <w:noWrap w:val="0"/>
            <w:vAlign w:val="center"/>
          </w:tcPr>
          <w:p w14:paraId="486D1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3.110</w:t>
            </w:r>
          </w:p>
        </w:tc>
        <w:tc>
          <w:tcPr>
            <w:tcW w:w="749" w:type="dxa"/>
            <w:noWrap w:val="0"/>
            <w:vAlign w:val="center"/>
          </w:tcPr>
          <w:p w14:paraId="19980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1.280</w:t>
            </w:r>
          </w:p>
        </w:tc>
        <w:tc>
          <w:tcPr>
            <w:tcW w:w="749" w:type="dxa"/>
            <w:noWrap w:val="0"/>
            <w:vAlign w:val="center"/>
          </w:tcPr>
          <w:p w14:paraId="0DBE6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1.250</w:t>
            </w:r>
          </w:p>
        </w:tc>
      </w:tr>
      <w:tr w14:paraId="6540A6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3E7E1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910" w:type="dxa"/>
            <w:noWrap w:val="0"/>
            <w:vAlign w:val="center"/>
          </w:tcPr>
          <w:p w14:paraId="50D72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10660</w:t>
            </w:r>
          </w:p>
        </w:tc>
        <w:tc>
          <w:tcPr>
            <w:tcW w:w="762" w:type="dxa"/>
            <w:noWrap w:val="0"/>
            <w:vAlign w:val="center"/>
          </w:tcPr>
          <w:p w14:paraId="3D539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16900</w:t>
            </w:r>
          </w:p>
        </w:tc>
        <w:tc>
          <w:tcPr>
            <w:tcW w:w="690" w:type="dxa"/>
            <w:noWrap w:val="0"/>
            <w:vAlign w:val="center"/>
          </w:tcPr>
          <w:p w14:paraId="33EF9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14460</w:t>
            </w:r>
          </w:p>
        </w:tc>
        <w:tc>
          <w:tcPr>
            <w:tcW w:w="792" w:type="dxa"/>
            <w:noWrap w:val="0"/>
            <w:vAlign w:val="center"/>
          </w:tcPr>
          <w:p w14:paraId="2819F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20220</w:t>
            </w:r>
          </w:p>
        </w:tc>
        <w:tc>
          <w:tcPr>
            <w:tcW w:w="721" w:type="dxa"/>
            <w:noWrap w:val="0"/>
            <w:vAlign w:val="center"/>
          </w:tcPr>
          <w:p w14:paraId="3E090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20400</w:t>
            </w:r>
          </w:p>
        </w:tc>
        <w:tc>
          <w:tcPr>
            <w:tcW w:w="823" w:type="dxa"/>
            <w:noWrap w:val="0"/>
            <w:vAlign w:val="center"/>
          </w:tcPr>
          <w:p w14:paraId="5B9FA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18000</w:t>
            </w:r>
          </w:p>
        </w:tc>
        <w:tc>
          <w:tcPr>
            <w:tcW w:w="669" w:type="dxa"/>
            <w:noWrap w:val="0"/>
            <w:vAlign w:val="center"/>
          </w:tcPr>
          <w:p w14:paraId="521F6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3.198</w:t>
            </w:r>
          </w:p>
        </w:tc>
        <w:tc>
          <w:tcPr>
            <w:tcW w:w="710" w:type="dxa"/>
            <w:noWrap w:val="0"/>
            <w:vAlign w:val="center"/>
          </w:tcPr>
          <w:p w14:paraId="2F730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1.361</w:t>
            </w:r>
          </w:p>
        </w:tc>
        <w:tc>
          <w:tcPr>
            <w:tcW w:w="751" w:type="dxa"/>
            <w:noWrap w:val="0"/>
            <w:vAlign w:val="center"/>
          </w:tcPr>
          <w:p w14:paraId="32560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2.613</w:t>
            </w:r>
          </w:p>
        </w:tc>
        <w:tc>
          <w:tcPr>
            <w:tcW w:w="749" w:type="dxa"/>
            <w:noWrap w:val="0"/>
            <w:vAlign w:val="center"/>
          </w:tcPr>
          <w:p w14:paraId="2E080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1.306</w:t>
            </w:r>
          </w:p>
        </w:tc>
        <w:tc>
          <w:tcPr>
            <w:tcW w:w="749" w:type="dxa"/>
            <w:noWrap w:val="0"/>
            <w:vAlign w:val="center"/>
          </w:tcPr>
          <w:p w14:paraId="7E1B7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1.293</w:t>
            </w:r>
          </w:p>
        </w:tc>
      </w:tr>
      <w:tr w14:paraId="300AC5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5F198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9</w:t>
            </w:r>
          </w:p>
        </w:tc>
        <w:tc>
          <w:tcPr>
            <w:tcW w:w="910" w:type="dxa"/>
            <w:noWrap w:val="0"/>
            <w:vAlign w:val="center"/>
          </w:tcPr>
          <w:p w14:paraId="6B161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10460</w:t>
            </w:r>
          </w:p>
        </w:tc>
        <w:tc>
          <w:tcPr>
            <w:tcW w:w="762" w:type="dxa"/>
            <w:noWrap w:val="0"/>
            <w:vAlign w:val="center"/>
          </w:tcPr>
          <w:p w14:paraId="18448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17260</w:t>
            </w:r>
          </w:p>
        </w:tc>
        <w:tc>
          <w:tcPr>
            <w:tcW w:w="690" w:type="dxa"/>
            <w:noWrap w:val="0"/>
            <w:vAlign w:val="center"/>
          </w:tcPr>
          <w:p w14:paraId="37865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15620</w:t>
            </w:r>
          </w:p>
        </w:tc>
        <w:tc>
          <w:tcPr>
            <w:tcW w:w="792" w:type="dxa"/>
            <w:noWrap w:val="0"/>
            <w:vAlign w:val="center"/>
          </w:tcPr>
          <w:p w14:paraId="2089E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21540</w:t>
            </w:r>
          </w:p>
        </w:tc>
        <w:tc>
          <w:tcPr>
            <w:tcW w:w="721" w:type="dxa"/>
            <w:noWrap w:val="0"/>
            <w:vAlign w:val="center"/>
          </w:tcPr>
          <w:p w14:paraId="105CF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18720</w:t>
            </w:r>
          </w:p>
        </w:tc>
        <w:tc>
          <w:tcPr>
            <w:tcW w:w="823" w:type="dxa"/>
            <w:noWrap w:val="0"/>
            <w:vAlign w:val="center"/>
          </w:tcPr>
          <w:p w14:paraId="26B26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18080</w:t>
            </w:r>
          </w:p>
        </w:tc>
        <w:tc>
          <w:tcPr>
            <w:tcW w:w="669" w:type="dxa"/>
            <w:noWrap w:val="0"/>
            <w:vAlign w:val="center"/>
          </w:tcPr>
          <w:p w14:paraId="2EE14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3.344</w:t>
            </w:r>
          </w:p>
        </w:tc>
        <w:tc>
          <w:tcPr>
            <w:tcW w:w="710" w:type="dxa"/>
            <w:noWrap w:val="0"/>
            <w:vAlign w:val="center"/>
          </w:tcPr>
          <w:p w14:paraId="04EA8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1.397</w:t>
            </w:r>
          </w:p>
        </w:tc>
        <w:tc>
          <w:tcPr>
            <w:tcW w:w="751" w:type="dxa"/>
            <w:noWrap w:val="0"/>
            <w:vAlign w:val="center"/>
          </w:tcPr>
          <w:p w14:paraId="58D0F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4.371</w:t>
            </w:r>
          </w:p>
        </w:tc>
        <w:tc>
          <w:tcPr>
            <w:tcW w:w="749" w:type="dxa"/>
            <w:noWrap w:val="0"/>
            <w:vAlign w:val="center"/>
          </w:tcPr>
          <w:p w14:paraId="097F0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1.349</w:t>
            </w:r>
          </w:p>
        </w:tc>
        <w:tc>
          <w:tcPr>
            <w:tcW w:w="749" w:type="dxa"/>
            <w:noWrap w:val="0"/>
            <w:vAlign w:val="center"/>
          </w:tcPr>
          <w:p w14:paraId="29138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1.278</w:t>
            </w:r>
          </w:p>
        </w:tc>
      </w:tr>
      <w:tr w14:paraId="19BF21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5D9D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10</w:t>
            </w:r>
          </w:p>
        </w:tc>
        <w:tc>
          <w:tcPr>
            <w:tcW w:w="910" w:type="dxa"/>
            <w:noWrap w:val="0"/>
            <w:vAlign w:val="center"/>
          </w:tcPr>
          <w:p w14:paraId="5B8A5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11920</w:t>
            </w:r>
          </w:p>
        </w:tc>
        <w:tc>
          <w:tcPr>
            <w:tcW w:w="762" w:type="dxa"/>
            <w:noWrap w:val="0"/>
            <w:vAlign w:val="center"/>
          </w:tcPr>
          <w:p w14:paraId="661B5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19720</w:t>
            </w:r>
          </w:p>
        </w:tc>
        <w:tc>
          <w:tcPr>
            <w:tcW w:w="690" w:type="dxa"/>
            <w:noWrap w:val="0"/>
            <w:vAlign w:val="center"/>
          </w:tcPr>
          <w:p w14:paraId="429F3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19760</w:t>
            </w:r>
          </w:p>
        </w:tc>
        <w:tc>
          <w:tcPr>
            <w:tcW w:w="792" w:type="dxa"/>
            <w:noWrap w:val="0"/>
            <w:vAlign w:val="center"/>
          </w:tcPr>
          <w:p w14:paraId="3A21F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20880</w:t>
            </w:r>
          </w:p>
        </w:tc>
        <w:tc>
          <w:tcPr>
            <w:tcW w:w="721" w:type="dxa"/>
            <w:noWrap w:val="0"/>
            <w:vAlign w:val="center"/>
          </w:tcPr>
          <w:p w14:paraId="50FBE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21160</w:t>
            </w:r>
          </w:p>
        </w:tc>
        <w:tc>
          <w:tcPr>
            <w:tcW w:w="823" w:type="dxa"/>
            <w:noWrap w:val="0"/>
            <w:vAlign w:val="center"/>
          </w:tcPr>
          <w:p w14:paraId="6E384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27080</w:t>
            </w:r>
          </w:p>
        </w:tc>
        <w:tc>
          <w:tcPr>
            <w:tcW w:w="669" w:type="dxa"/>
            <w:noWrap w:val="0"/>
            <w:vAlign w:val="center"/>
          </w:tcPr>
          <w:p w14:paraId="0FDF3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3.201</w:t>
            </w:r>
          </w:p>
        </w:tc>
        <w:tc>
          <w:tcPr>
            <w:tcW w:w="710" w:type="dxa"/>
            <w:noWrap w:val="0"/>
            <w:vAlign w:val="center"/>
          </w:tcPr>
          <w:p w14:paraId="1003E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1.349</w:t>
            </w:r>
          </w:p>
        </w:tc>
        <w:tc>
          <w:tcPr>
            <w:tcW w:w="751" w:type="dxa"/>
            <w:noWrap w:val="0"/>
            <w:vAlign w:val="center"/>
          </w:tcPr>
          <w:p w14:paraId="76605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5.733</w:t>
            </w:r>
          </w:p>
        </w:tc>
        <w:tc>
          <w:tcPr>
            <w:tcW w:w="749" w:type="dxa"/>
            <w:noWrap w:val="0"/>
            <w:vAlign w:val="center"/>
          </w:tcPr>
          <w:p w14:paraId="724C4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1.301</w:t>
            </w:r>
          </w:p>
        </w:tc>
        <w:tc>
          <w:tcPr>
            <w:tcW w:w="749" w:type="dxa"/>
            <w:noWrap w:val="0"/>
            <w:vAlign w:val="center"/>
          </w:tcPr>
          <w:p w14:paraId="05D96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1.278</w:t>
            </w:r>
          </w:p>
        </w:tc>
      </w:tr>
    </w:tbl>
    <w:p w14:paraId="523F8F6A">
      <w:pPr>
        <w:pStyle w:val="2"/>
        <w:spacing w:line="240" w:lineRule="auto"/>
        <w:ind w:firstLine="0" w:firstLineChars="0"/>
        <w:rPr>
          <w:rFonts w:hint="default" w:ascii="Times New Roman" w:hAnsi="Times New Roman" w:eastAsia="楷体_GB2312" w:cs="Times New Roman"/>
          <w:highlight w:val="none"/>
        </w:rPr>
      </w:pPr>
    </w:p>
    <w:p w14:paraId="4C439391">
      <w:pPr>
        <w:pStyle w:val="61"/>
        <w:bidi w:val="0"/>
        <w:rPr>
          <w:rFonts w:hint="default"/>
          <w:highlight w:val="none"/>
        </w:rPr>
      </w:pP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6</w:t>
      </w:r>
      <w:r>
        <w:rPr>
          <w:highlight w:val="none"/>
        </w:rPr>
        <w:fldChar w:fldCharType="end"/>
      </w:r>
      <w:r>
        <w:rPr>
          <w:highlight w:val="none"/>
        </w:rPr>
        <w:t xml:space="preserve"> </w:t>
      </w:r>
      <w:r>
        <w:rPr>
          <w:rFonts w:hint="default"/>
          <w:highlight w:val="none"/>
        </w:rPr>
        <w:t>前10</w:t>
      </w:r>
      <w:r>
        <w:rPr>
          <w:rFonts w:hint="eastAsia"/>
          <w:highlight w:val="none"/>
          <w:lang w:val="en-US" w:eastAsia="zh-CN"/>
        </w:rPr>
        <w:t>最大轴重</w:t>
      </w:r>
      <w:r>
        <w:rPr>
          <w:rFonts w:hint="default"/>
          <w:highlight w:val="none"/>
        </w:rPr>
        <w:t>车辆参数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719"/>
        <w:gridCol w:w="1661"/>
        <w:gridCol w:w="704"/>
        <w:gridCol w:w="1186"/>
        <w:gridCol w:w="1261"/>
      </w:tblGrid>
      <w:tr w14:paraId="6E613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708097B">
            <w:pPr>
              <w:pStyle w:val="74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719" w:type="dxa"/>
            <w:noWrap w:val="0"/>
            <w:vAlign w:val="center"/>
          </w:tcPr>
          <w:p w14:paraId="69F606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车道</w:t>
            </w:r>
          </w:p>
        </w:tc>
        <w:tc>
          <w:tcPr>
            <w:tcW w:w="1661" w:type="dxa"/>
            <w:noWrap w:val="0"/>
            <w:vAlign w:val="center"/>
          </w:tcPr>
          <w:p w14:paraId="32377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时间</w:t>
            </w:r>
          </w:p>
        </w:tc>
        <w:tc>
          <w:tcPr>
            <w:tcW w:w="704" w:type="dxa"/>
            <w:noWrap w:val="0"/>
            <w:vAlign w:val="center"/>
          </w:tcPr>
          <w:p w14:paraId="08D0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轴数</w:t>
            </w:r>
          </w:p>
        </w:tc>
        <w:tc>
          <w:tcPr>
            <w:tcW w:w="1186" w:type="dxa"/>
            <w:noWrap w:val="0"/>
            <w:vAlign w:val="center"/>
          </w:tcPr>
          <w:p w14:paraId="3F4D6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总重（kg）</w:t>
            </w:r>
          </w:p>
        </w:tc>
        <w:tc>
          <w:tcPr>
            <w:tcW w:w="1261" w:type="dxa"/>
            <w:noWrap w:val="0"/>
            <w:vAlign w:val="center"/>
          </w:tcPr>
          <w:p w14:paraId="1EA2A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车速（km/h）</w:t>
            </w:r>
          </w:p>
        </w:tc>
      </w:tr>
      <w:tr w14:paraId="1C55DD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0B1782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19" w:type="dxa"/>
            <w:noWrap w:val="0"/>
            <w:vAlign w:val="bottom"/>
          </w:tcPr>
          <w:p w14:paraId="03773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661" w:type="dxa"/>
            <w:noWrap w:val="0"/>
            <w:vAlign w:val="bottom"/>
          </w:tcPr>
          <w:p w14:paraId="2CA14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2025/12/12 3:18</w:t>
            </w:r>
          </w:p>
        </w:tc>
        <w:tc>
          <w:tcPr>
            <w:tcW w:w="704" w:type="dxa"/>
            <w:noWrap w:val="0"/>
            <w:vAlign w:val="bottom"/>
          </w:tcPr>
          <w:p w14:paraId="78698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7CC46D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43500</w:t>
            </w:r>
          </w:p>
        </w:tc>
        <w:tc>
          <w:tcPr>
            <w:tcW w:w="1261" w:type="dxa"/>
            <w:noWrap w:val="0"/>
            <w:vAlign w:val="bottom"/>
          </w:tcPr>
          <w:p w14:paraId="00826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50</w:t>
            </w:r>
          </w:p>
        </w:tc>
      </w:tr>
      <w:tr w14:paraId="4C7D90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DCC4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719" w:type="dxa"/>
            <w:noWrap w:val="0"/>
            <w:vAlign w:val="bottom"/>
          </w:tcPr>
          <w:p w14:paraId="13671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661" w:type="dxa"/>
            <w:noWrap w:val="0"/>
            <w:vAlign w:val="bottom"/>
          </w:tcPr>
          <w:p w14:paraId="0F5780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2025/12/12 5:41</w:t>
            </w:r>
          </w:p>
        </w:tc>
        <w:tc>
          <w:tcPr>
            <w:tcW w:w="704" w:type="dxa"/>
            <w:noWrap w:val="0"/>
            <w:vAlign w:val="bottom"/>
          </w:tcPr>
          <w:p w14:paraId="00175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3EA7B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43640</w:t>
            </w:r>
          </w:p>
        </w:tc>
        <w:tc>
          <w:tcPr>
            <w:tcW w:w="1261" w:type="dxa"/>
            <w:noWrap w:val="0"/>
            <w:vAlign w:val="bottom"/>
          </w:tcPr>
          <w:p w14:paraId="54EF1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45</w:t>
            </w:r>
          </w:p>
        </w:tc>
      </w:tr>
      <w:tr w14:paraId="6B7635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4A952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719" w:type="dxa"/>
            <w:noWrap w:val="0"/>
            <w:vAlign w:val="bottom"/>
          </w:tcPr>
          <w:p w14:paraId="4EF55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1661" w:type="dxa"/>
            <w:noWrap w:val="0"/>
            <w:vAlign w:val="bottom"/>
          </w:tcPr>
          <w:p w14:paraId="42C0C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2025/12/30 13:08</w:t>
            </w:r>
          </w:p>
        </w:tc>
        <w:tc>
          <w:tcPr>
            <w:tcW w:w="704" w:type="dxa"/>
            <w:noWrap w:val="0"/>
            <w:vAlign w:val="bottom"/>
          </w:tcPr>
          <w:p w14:paraId="26748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4AE52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42780</w:t>
            </w:r>
          </w:p>
        </w:tc>
        <w:tc>
          <w:tcPr>
            <w:tcW w:w="1261" w:type="dxa"/>
            <w:noWrap w:val="0"/>
            <w:vAlign w:val="bottom"/>
          </w:tcPr>
          <w:p w14:paraId="45DBB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33</w:t>
            </w:r>
          </w:p>
        </w:tc>
      </w:tr>
      <w:tr w14:paraId="40E48D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4343C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19" w:type="dxa"/>
            <w:noWrap w:val="0"/>
            <w:vAlign w:val="bottom"/>
          </w:tcPr>
          <w:p w14:paraId="73B7A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1661" w:type="dxa"/>
            <w:noWrap w:val="0"/>
            <w:vAlign w:val="bottom"/>
          </w:tcPr>
          <w:p w14:paraId="265ED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2025/12/7 0:27</w:t>
            </w:r>
          </w:p>
        </w:tc>
        <w:tc>
          <w:tcPr>
            <w:tcW w:w="704" w:type="dxa"/>
            <w:noWrap w:val="0"/>
            <w:vAlign w:val="bottom"/>
          </w:tcPr>
          <w:p w14:paraId="0AE00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3E49F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47000</w:t>
            </w:r>
          </w:p>
        </w:tc>
        <w:tc>
          <w:tcPr>
            <w:tcW w:w="1261" w:type="dxa"/>
            <w:noWrap w:val="0"/>
            <w:vAlign w:val="bottom"/>
          </w:tcPr>
          <w:p w14:paraId="71278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35</w:t>
            </w:r>
          </w:p>
        </w:tc>
      </w:tr>
      <w:tr w14:paraId="0C9AB9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2F3E0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719" w:type="dxa"/>
            <w:noWrap w:val="0"/>
            <w:vAlign w:val="bottom"/>
          </w:tcPr>
          <w:p w14:paraId="51163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1661" w:type="dxa"/>
            <w:noWrap w:val="0"/>
            <w:vAlign w:val="bottom"/>
          </w:tcPr>
          <w:p w14:paraId="6AEDF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2025/12/14 2:17</w:t>
            </w:r>
          </w:p>
        </w:tc>
        <w:tc>
          <w:tcPr>
            <w:tcW w:w="704" w:type="dxa"/>
            <w:noWrap w:val="0"/>
            <w:vAlign w:val="bottom"/>
          </w:tcPr>
          <w:p w14:paraId="0B240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1186" w:type="dxa"/>
            <w:noWrap w:val="0"/>
            <w:vAlign w:val="bottom"/>
          </w:tcPr>
          <w:p w14:paraId="3482F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84000</w:t>
            </w:r>
          </w:p>
        </w:tc>
        <w:tc>
          <w:tcPr>
            <w:tcW w:w="1261" w:type="dxa"/>
            <w:noWrap w:val="0"/>
            <w:vAlign w:val="bottom"/>
          </w:tcPr>
          <w:p w14:paraId="01BEB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38</w:t>
            </w:r>
          </w:p>
        </w:tc>
      </w:tr>
      <w:tr w14:paraId="06E30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69E7BA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719" w:type="dxa"/>
            <w:noWrap w:val="0"/>
            <w:vAlign w:val="bottom"/>
          </w:tcPr>
          <w:p w14:paraId="3BAA3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661" w:type="dxa"/>
            <w:noWrap w:val="0"/>
            <w:vAlign w:val="bottom"/>
          </w:tcPr>
          <w:p w14:paraId="2464A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2025/12/4 4:25</w:t>
            </w:r>
          </w:p>
        </w:tc>
        <w:tc>
          <w:tcPr>
            <w:tcW w:w="704" w:type="dxa"/>
            <w:noWrap w:val="0"/>
            <w:vAlign w:val="bottom"/>
          </w:tcPr>
          <w:p w14:paraId="40E87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59E52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42200</w:t>
            </w:r>
          </w:p>
        </w:tc>
        <w:tc>
          <w:tcPr>
            <w:tcW w:w="1261" w:type="dxa"/>
            <w:noWrap w:val="0"/>
            <w:vAlign w:val="bottom"/>
          </w:tcPr>
          <w:p w14:paraId="4C2706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45</w:t>
            </w:r>
          </w:p>
        </w:tc>
      </w:tr>
      <w:tr w14:paraId="4E58BF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09540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19" w:type="dxa"/>
            <w:noWrap w:val="0"/>
            <w:vAlign w:val="bottom"/>
          </w:tcPr>
          <w:p w14:paraId="25A8F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1661" w:type="dxa"/>
            <w:noWrap w:val="0"/>
            <w:vAlign w:val="bottom"/>
          </w:tcPr>
          <w:p w14:paraId="38F39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2025/12/3 20:50</w:t>
            </w:r>
          </w:p>
        </w:tc>
        <w:tc>
          <w:tcPr>
            <w:tcW w:w="704" w:type="dxa"/>
            <w:noWrap w:val="0"/>
            <w:vAlign w:val="bottom"/>
          </w:tcPr>
          <w:p w14:paraId="423D8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6</w:t>
            </w:r>
          </w:p>
        </w:tc>
        <w:tc>
          <w:tcPr>
            <w:tcW w:w="1186" w:type="dxa"/>
            <w:noWrap w:val="0"/>
            <w:vAlign w:val="bottom"/>
          </w:tcPr>
          <w:p w14:paraId="695A0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145420</w:t>
            </w:r>
          </w:p>
        </w:tc>
        <w:tc>
          <w:tcPr>
            <w:tcW w:w="1261" w:type="dxa"/>
            <w:noWrap w:val="0"/>
            <w:vAlign w:val="bottom"/>
          </w:tcPr>
          <w:p w14:paraId="7D634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46</w:t>
            </w:r>
          </w:p>
        </w:tc>
      </w:tr>
      <w:tr w14:paraId="1E1EB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5ACC0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719" w:type="dxa"/>
            <w:noWrap w:val="0"/>
            <w:vAlign w:val="bottom"/>
          </w:tcPr>
          <w:p w14:paraId="7E0E9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1661" w:type="dxa"/>
            <w:noWrap w:val="0"/>
            <w:vAlign w:val="bottom"/>
          </w:tcPr>
          <w:p w14:paraId="0EF17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2025/12/15 22:03</w:t>
            </w:r>
          </w:p>
        </w:tc>
        <w:tc>
          <w:tcPr>
            <w:tcW w:w="704" w:type="dxa"/>
            <w:noWrap w:val="0"/>
            <w:vAlign w:val="bottom"/>
          </w:tcPr>
          <w:p w14:paraId="01096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202D2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44280</w:t>
            </w:r>
          </w:p>
        </w:tc>
        <w:tc>
          <w:tcPr>
            <w:tcW w:w="1261" w:type="dxa"/>
            <w:noWrap w:val="0"/>
            <w:vAlign w:val="bottom"/>
          </w:tcPr>
          <w:p w14:paraId="54247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44</w:t>
            </w:r>
          </w:p>
        </w:tc>
      </w:tr>
      <w:tr w14:paraId="787BE2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51E6D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9</w:t>
            </w:r>
          </w:p>
        </w:tc>
        <w:tc>
          <w:tcPr>
            <w:tcW w:w="719" w:type="dxa"/>
            <w:noWrap w:val="0"/>
            <w:vAlign w:val="bottom"/>
          </w:tcPr>
          <w:p w14:paraId="038FD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661" w:type="dxa"/>
            <w:noWrap w:val="0"/>
            <w:vAlign w:val="bottom"/>
          </w:tcPr>
          <w:p w14:paraId="43B8CA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2025/12/29 19:40</w:t>
            </w:r>
          </w:p>
        </w:tc>
        <w:tc>
          <w:tcPr>
            <w:tcW w:w="704" w:type="dxa"/>
            <w:noWrap w:val="0"/>
            <w:vAlign w:val="bottom"/>
          </w:tcPr>
          <w:p w14:paraId="34492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1186" w:type="dxa"/>
            <w:noWrap w:val="0"/>
            <w:vAlign w:val="bottom"/>
          </w:tcPr>
          <w:p w14:paraId="57E48E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75780</w:t>
            </w:r>
          </w:p>
        </w:tc>
        <w:tc>
          <w:tcPr>
            <w:tcW w:w="1261" w:type="dxa"/>
            <w:noWrap w:val="0"/>
            <w:vAlign w:val="bottom"/>
          </w:tcPr>
          <w:p w14:paraId="2D05D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38</w:t>
            </w:r>
          </w:p>
        </w:tc>
      </w:tr>
      <w:tr w14:paraId="574334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666" w:type="dxa"/>
            <w:noWrap w:val="0"/>
            <w:vAlign w:val="center"/>
          </w:tcPr>
          <w:p w14:paraId="36B38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</w:rPr>
              <w:t>10</w:t>
            </w:r>
          </w:p>
        </w:tc>
        <w:tc>
          <w:tcPr>
            <w:tcW w:w="719" w:type="dxa"/>
            <w:noWrap w:val="0"/>
            <w:vAlign w:val="bottom"/>
          </w:tcPr>
          <w:p w14:paraId="23842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1661" w:type="dxa"/>
            <w:noWrap w:val="0"/>
            <w:vAlign w:val="bottom"/>
          </w:tcPr>
          <w:p w14:paraId="70F8F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2025/12/13 22:25</w:t>
            </w:r>
          </w:p>
        </w:tc>
        <w:tc>
          <w:tcPr>
            <w:tcW w:w="704" w:type="dxa"/>
            <w:noWrap w:val="0"/>
            <w:vAlign w:val="bottom"/>
          </w:tcPr>
          <w:p w14:paraId="57999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186" w:type="dxa"/>
            <w:noWrap w:val="0"/>
            <w:vAlign w:val="bottom"/>
          </w:tcPr>
          <w:p w14:paraId="747FD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45390</w:t>
            </w:r>
          </w:p>
        </w:tc>
        <w:tc>
          <w:tcPr>
            <w:tcW w:w="1261" w:type="dxa"/>
            <w:noWrap w:val="0"/>
            <w:vAlign w:val="bottom"/>
          </w:tcPr>
          <w:p w14:paraId="3B1B8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41</w:t>
            </w:r>
          </w:p>
        </w:tc>
      </w:tr>
    </w:tbl>
    <w:p w14:paraId="638023F3">
      <w:pPr>
        <w:pStyle w:val="61"/>
        <w:jc w:val="left"/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t>续</w: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begin"/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instrText xml:space="preserve"> REF _Ref26805 \h </w:instrTex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-5</w:t>
      </w:r>
      <w:r>
        <w:rPr>
          <w:rFonts w:hint="default" w:ascii="Times New Roman" w:hAnsi="Times New Roman" w:eastAsia="楷体_GB2312" w:cs="Arial"/>
          <w:kern w:val="2"/>
          <w:sz w:val="24"/>
          <w:szCs w:val="20"/>
          <w:highlight w:val="none"/>
          <w:lang w:val="en-US" w:eastAsia="zh-CN" w:bidi="ar-SA"/>
        </w:rPr>
        <w:fldChar w:fldCharType="end"/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910"/>
        <w:gridCol w:w="762"/>
        <w:gridCol w:w="690"/>
        <w:gridCol w:w="792"/>
        <w:gridCol w:w="721"/>
        <w:gridCol w:w="823"/>
        <w:gridCol w:w="669"/>
        <w:gridCol w:w="710"/>
        <w:gridCol w:w="751"/>
        <w:gridCol w:w="749"/>
        <w:gridCol w:w="749"/>
      </w:tblGrid>
      <w:tr w14:paraId="408E6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  <w:jc w:val="center"/>
        </w:trPr>
        <w:tc>
          <w:tcPr>
            <w:tcW w:w="558" w:type="dxa"/>
            <w:noWrap w:val="0"/>
            <w:vAlign w:val="center"/>
          </w:tcPr>
          <w:p w14:paraId="7CC00A9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910" w:type="dxa"/>
            <w:noWrap w:val="0"/>
            <w:vAlign w:val="center"/>
          </w:tcPr>
          <w:p w14:paraId="21DD93D4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轴1重</w:t>
            </w:r>
          </w:p>
          <w:p w14:paraId="30781AC7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62" w:type="dxa"/>
            <w:noWrap w:val="0"/>
            <w:vAlign w:val="center"/>
          </w:tcPr>
          <w:p w14:paraId="72E1FFA0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轴2重</w:t>
            </w:r>
          </w:p>
          <w:p w14:paraId="2D5CB7CE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690" w:type="dxa"/>
            <w:noWrap w:val="0"/>
            <w:vAlign w:val="center"/>
          </w:tcPr>
          <w:p w14:paraId="7A8C8AD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轴3重</w:t>
            </w:r>
          </w:p>
          <w:p w14:paraId="0BBE4348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92" w:type="dxa"/>
            <w:noWrap w:val="0"/>
            <w:vAlign w:val="center"/>
          </w:tcPr>
          <w:p w14:paraId="4007068D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轴4重</w:t>
            </w:r>
          </w:p>
          <w:p w14:paraId="64F66881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721" w:type="dxa"/>
            <w:noWrap w:val="0"/>
            <w:vAlign w:val="center"/>
          </w:tcPr>
          <w:p w14:paraId="5B618A97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轴5重</w:t>
            </w:r>
          </w:p>
          <w:p w14:paraId="792063F6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823" w:type="dxa"/>
            <w:noWrap w:val="0"/>
            <w:vAlign w:val="center"/>
          </w:tcPr>
          <w:p w14:paraId="38003D83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轴6重</w:t>
            </w:r>
          </w:p>
          <w:p w14:paraId="7C6EBB53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（kg）</w:t>
            </w:r>
          </w:p>
        </w:tc>
        <w:tc>
          <w:tcPr>
            <w:tcW w:w="669" w:type="dxa"/>
            <w:noWrap w:val="0"/>
            <w:vAlign w:val="center"/>
          </w:tcPr>
          <w:p w14:paraId="2F784A07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轴距1</w:t>
            </w:r>
          </w:p>
          <w:p w14:paraId="5C306FD1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10" w:type="dxa"/>
            <w:noWrap w:val="0"/>
            <w:vAlign w:val="center"/>
          </w:tcPr>
          <w:p w14:paraId="0E12D04C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轴距2</w:t>
            </w:r>
          </w:p>
          <w:p w14:paraId="5617C263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51" w:type="dxa"/>
            <w:noWrap w:val="0"/>
            <w:vAlign w:val="center"/>
          </w:tcPr>
          <w:p w14:paraId="5F8B7E39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轴距3</w:t>
            </w:r>
          </w:p>
          <w:p w14:paraId="24F71A1F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49" w:type="dxa"/>
            <w:noWrap w:val="0"/>
            <w:vAlign w:val="center"/>
          </w:tcPr>
          <w:p w14:paraId="77C6FE6B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轴距4</w:t>
            </w:r>
          </w:p>
          <w:p w14:paraId="2630CC99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  <w:tc>
          <w:tcPr>
            <w:tcW w:w="749" w:type="dxa"/>
            <w:noWrap w:val="0"/>
            <w:vAlign w:val="center"/>
          </w:tcPr>
          <w:p w14:paraId="78B1FCCA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轴距5</w:t>
            </w:r>
          </w:p>
          <w:p w14:paraId="32058FC6">
            <w:pPr>
              <w:pStyle w:val="74"/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（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_GB2312" w:cs="Times New Roman"/>
                <w:b w:val="0"/>
                <w:bCs w:val="0"/>
                <w:sz w:val="21"/>
                <w:szCs w:val="21"/>
                <w:highlight w:val="none"/>
              </w:rPr>
              <w:t>）</w:t>
            </w:r>
          </w:p>
        </w:tc>
      </w:tr>
      <w:tr w14:paraId="4BDEB3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0D823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910" w:type="dxa"/>
            <w:noWrap w:val="0"/>
            <w:vAlign w:val="bottom"/>
          </w:tcPr>
          <w:p w14:paraId="273AC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8240</w:t>
            </w:r>
          </w:p>
        </w:tc>
        <w:tc>
          <w:tcPr>
            <w:tcW w:w="762" w:type="dxa"/>
            <w:noWrap w:val="0"/>
            <w:vAlign w:val="bottom"/>
          </w:tcPr>
          <w:p w14:paraId="1F302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5340</w:t>
            </w:r>
          </w:p>
        </w:tc>
        <w:tc>
          <w:tcPr>
            <w:tcW w:w="690" w:type="dxa"/>
            <w:noWrap w:val="0"/>
            <w:vAlign w:val="bottom"/>
          </w:tcPr>
          <w:p w14:paraId="004CC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29920</w:t>
            </w:r>
          </w:p>
        </w:tc>
        <w:tc>
          <w:tcPr>
            <w:tcW w:w="792" w:type="dxa"/>
            <w:noWrap w:val="0"/>
            <w:vAlign w:val="bottom"/>
          </w:tcPr>
          <w:p w14:paraId="2E5EE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71F7F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2EED0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5047E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2.055</w:t>
            </w:r>
          </w:p>
        </w:tc>
        <w:tc>
          <w:tcPr>
            <w:tcW w:w="710" w:type="dxa"/>
            <w:noWrap w:val="0"/>
            <w:vAlign w:val="bottom"/>
          </w:tcPr>
          <w:p w14:paraId="5FD34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2.736</w:t>
            </w:r>
          </w:p>
        </w:tc>
        <w:tc>
          <w:tcPr>
            <w:tcW w:w="751" w:type="dxa"/>
            <w:noWrap w:val="0"/>
            <w:vAlign w:val="bottom"/>
          </w:tcPr>
          <w:p w14:paraId="7A6DE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74529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5CA6EB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7C7C8E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016B79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910" w:type="dxa"/>
            <w:noWrap w:val="0"/>
            <w:vAlign w:val="bottom"/>
          </w:tcPr>
          <w:p w14:paraId="7C7652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7840</w:t>
            </w:r>
          </w:p>
        </w:tc>
        <w:tc>
          <w:tcPr>
            <w:tcW w:w="762" w:type="dxa"/>
            <w:noWrap w:val="0"/>
            <w:vAlign w:val="bottom"/>
          </w:tcPr>
          <w:p w14:paraId="4854E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5940</w:t>
            </w:r>
          </w:p>
        </w:tc>
        <w:tc>
          <w:tcPr>
            <w:tcW w:w="690" w:type="dxa"/>
            <w:noWrap w:val="0"/>
            <w:vAlign w:val="bottom"/>
          </w:tcPr>
          <w:p w14:paraId="740BD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29860</w:t>
            </w:r>
          </w:p>
        </w:tc>
        <w:tc>
          <w:tcPr>
            <w:tcW w:w="792" w:type="dxa"/>
            <w:noWrap w:val="0"/>
            <w:vAlign w:val="bottom"/>
          </w:tcPr>
          <w:p w14:paraId="78CBF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1498C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5277F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5A53D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1.837</w:t>
            </w:r>
          </w:p>
        </w:tc>
        <w:tc>
          <w:tcPr>
            <w:tcW w:w="710" w:type="dxa"/>
            <w:noWrap w:val="0"/>
            <w:vAlign w:val="bottom"/>
          </w:tcPr>
          <w:p w14:paraId="5558B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2.937</w:t>
            </w:r>
          </w:p>
        </w:tc>
        <w:tc>
          <w:tcPr>
            <w:tcW w:w="751" w:type="dxa"/>
            <w:noWrap w:val="0"/>
            <w:vAlign w:val="bottom"/>
          </w:tcPr>
          <w:p w14:paraId="29EE3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4CCC1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718CE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195D4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C632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910" w:type="dxa"/>
            <w:noWrap w:val="0"/>
            <w:vAlign w:val="bottom"/>
          </w:tcPr>
          <w:p w14:paraId="7F061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5460</w:t>
            </w:r>
          </w:p>
        </w:tc>
        <w:tc>
          <w:tcPr>
            <w:tcW w:w="762" w:type="dxa"/>
            <w:noWrap w:val="0"/>
            <w:vAlign w:val="bottom"/>
          </w:tcPr>
          <w:p w14:paraId="5CC86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7480</w:t>
            </w:r>
          </w:p>
        </w:tc>
        <w:tc>
          <w:tcPr>
            <w:tcW w:w="690" w:type="dxa"/>
            <w:noWrap w:val="0"/>
            <w:vAlign w:val="bottom"/>
          </w:tcPr>
          <w:p w14:paraId="5ED4E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29840</w:t>
            </w:r>
          </w:p>
        </w:tc>
        <w:tc>
          <w:tcPr>
            <w:tcW w:w="792" w:type="dxa"/>
            <w:noWrap w:val="0"/>
            <w:vAlign w:val="bottom"/>
          </w:tcPr>
          <w:p w14:paraId="3C691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246F9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7CA42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321CA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1.76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10" w:type="dxa"/>
            <w:noWrap w:val="0"/>
            <w:vAlign w:val="bottom"/>
          </w:tcPr>
          <w:p w14:paraId="66F2E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2.63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51" w:type="dxa"/>
            <w:noWrap w:val="0"/>
            <w:vAlign w:val="bottom"/>
          </w:tcPr>
          <w:p w14:paraId="6074C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1BAC5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6EF0F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12192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17AB3E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910" w:type="dxa"/>
            <w:noWrap w:val="0"/>
            <w:vAlign w:val="bottom"/>
          </w:tcPr>
          <w:p w14:paraId="4D5F3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8950</w:t>
            </w:r>
          </w:p>
        </w:tc>
        <w:tc>
          <w:tcPr>
            <w:tcW w:w="762" w:type="dxa"/>
            <w:noWrap w:val="0"/>
            <w:vAlign w:val="bottom"/>
          </w:tcPr>
          <w:p w14:paraId="6E096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8300</w:t>
            </w:r>
          </w:p>
        </w:tc>
        <w:tc>
          <w:tcPr>
            <w:tcW w:w="690" w:type="dxa"/>
            <w:noWrap w:val="0"/>
            <w:vAlign w:val="bottom"/>
          </w:tcPr>
          <w:p w14:paraId="7D882E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29750</w:t>
            </w:r>
          </w:p>
        </w:tc>
        <w:tc>
          <w:tcPr>
            <w:tcW w:w="792" w:type="dxa"/>
            <w:noWrap w:val="0"/>
            <w:vAlign w:val="bottom"/>
          </w:tcPr>
          <w:p w14:paraId="00894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0345D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674C3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6E418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1.837</w:t>
            </w:r>
          </w:p>
        </w:tc>
        <w:tc>
          <w:tcPr>
            <w:tcW w:w="710" w:type="dxa"/>
            <w:noWrap w:val="0"/>
            <w:vAlign w:val="bottom"/>
          </w:tcPr>
          <w:p w14:paraId="510F2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3.772</w:t>
            </w:r>
          </w:p>
        </w:tc>
        <w:tc>
          <w:tcPr>
            <w:tcW w:w="751" w:type="dxa"/>
            <w:noWrap w:val="0"/>
            <w:vAlign w:val="bottom"/>
          </w:tcPr>
          <w:p w14:paraId="70D07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6CE6C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5713C0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077478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4E064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910" w:type="dxa"/>
            <w:noWrap w:val="0"/>
            <w:vAlign w:val="bottom"/>
          </w:tcPr>
          <w:p w14:paraId="1790B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10860</w:t>
            </w:r>
          </w:p>
        </w:tc>
        <w:tc>
          <w:tcPr>
            <w:tcW w:w="762" w:type="dxa"/>
            <w:noWrap w:val="0"/>
            <w:vAlign w:val="bottom"/>
          </w:tcPr>
          <w:p w14:paraId="00DB0A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15580</w:t>
            </w:r>
          </w:p>
        </w:tc>
        <w:tc>
          <w:tcPr>
            <w:tcW w:w="690" w:type="dxa"/>
            <w:noWrap w:val="0"/>
            <w:vAlign w:val="bottom"/>
          </w:tcPr>
          <w:p w14:paraId="27AE3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29600</w:t>
            </w:r>
          </w:p>
        </w:tc>
        <w:tc>
          <w:tcPr>
            <w:tcW w:w="792" w:type="dxa"/>
            <w:noWrap w:val="0"/>
            <w:vAlign w:val="bottom"/>
          </w:tcPr>
          <w:p w14:paraId="0F317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27960</w:t>
            </w:r>
          </w:p>
        </w:tc>
        <w:tc>
          <w:tcPr>
            <w:tcW w:w="721" w:type="dxa"/>
            <w:noWrap w:val="0"/>
            <w:vAlign w:val="bottom"/>
          </w:tcPr>
          <w:p w14:paraId="7907C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01BCB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7C4C5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1.921</w:t>
            </w:r>
          </w:p>
        </w:tc>
        <w:tc>
          <w:tcPr>
            <w:tcW w:w="710" w:type="dxa"/>
            <w:noWrap w:val="0"/>
            <w:vAlign w:val="bottom"/>
          </w:tcPr>
          <w:p w14:paraId="16910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4.95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51" w:type="dxa"/>
            <w:noWrap w:val="0"/>
            <w:vAlign w:val="bottom"/>
          </w:tcPr>
          <w:p w14:paraId="54DF6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1.382</w:t>
            </w:r>
          </w:p>
        </w:tc>
        <w:tc>
          <w:tcPr>
            <w:tcW w:w="749" w:type="dxa"/>
            <w:noWrap w:val="0"/>
            <w:vAlign w:val="bottom"/>
          </w:tcPr>
          <w:p w14:paraId="081CF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09D09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44A549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0BE52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6</w:t>
            </w:r>
          </w:p>
        </w:tc>
        <w:tc>
          <w:tcPr>
            <w:tcW w:w="910" w:type="dxa"/>
            <w:noWrap w:val="0"/>
            <w:vAlign w:val="bottom"/>
          </w:tcPr>
          <w:p w14:paraId="24F58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6980</w:t>
            </w:r>
          </w:p>
        </w:tc>
        <w:tc>
          <w:tcPr>
            <w:tcW w:w="762" w:type="dxa"/>
            <w:noWrap w:val="0"/>
            <w:vAlign w:val="bottom"/>
          </w:tcPr>
          <w:p w14:paraId="34114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5680</w:t>
            </w:r>
          </w:p>
        </w:tc>
        <w:tc>
          <w:tcPr>
            <w:tcW w:w="690" w:type="dxa"/>
            <w:noWrap w:val="0"/>
            <w:vAlign w:val="bottom"/>
          </w:tcPr>
          <w:p w14:paraId="18325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29540</w:t>
            </w:r>
          </w:p>
        </w:tc>
        <w:tc>
          <w:tcPr>
            <w:tcW w:w="792" w:type="dxa"/>
            <w:noWrap w:val="0"/>
            <w:vAlign w:val="bottom"/>
          </w:tcPr>
          <w:p w14:paraId="301B2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282ED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6C53AE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00C9A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1.8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00</w:t>
            </w:r>
          </w:p>
        </w:tc>
        <w:tc>
          <w:tcPr>
            <w:tcW w:w="710" w:type="dxa"/>
            <w:noWrap w:val="0"/>
            <w:vAlign w:val="bottom"/>
          </w:tcPr>
          <w:p w14:paraId="53987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2.85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51" w:type="dxa"/>
            <w:noWrap w:val="0"/>
            <w:vAlign w:val="bottom"/>
          </w:tcPr>
          <w:p w14:paraId="13A12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180EF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53D6F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5BD198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6B95D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</w:t>
            </w:r>
          </w:p>
        </w:tc>
        <w:tc>
          <w:tcPr>
            <w:tcW w:w="910" w:type="dxa"/>
            <w:noWrap w:val="0"/>
            <w:vAlign w:val="bottom"/>
          </w:tcPr>
          <w:p w14:paraId="66724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9060</w:t>
            </w:r>
          </w:p>
        </w:tc>
        <w:tc>
          <w:tcPr>
            <w:tcW w:w="762" w:type="dxa"/>
            <w:noWrap w:val="0"/>
            <w:vAlign w:val="bottom"/>
          </w:tcPr>
          <w:p w14:paraId="4B035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29440</w:t>
            </w:r>
          </w:p>
        </w:tc>
        <w:tc>
          <w:tcPr>
            <w:tcW w:w="690" w:type="dxa"/>
            <w:noWrap w:val="0"/>
            <w:vAlign w:val="bottom"/>
          </w:tcPr>
          <w:p w14:paraId="58283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27860</w:t>
            </w:r>
          </w:p>
        </w:tc>
        <w:tc>
          <w:tcPr>
            <w:tcW w:w="792" w:type="dxa"/>
            <w:noWrap w:val="0"/>
            <w:vAlign w:val="bottom"/>
          </w:tcPr>
          <w:p w14:paraId="5EECF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25680</w:t>
            </w:r>
          </w:p>
        </w:tc>
        <w:tc>
          <w:tcPr>
            <w:tcW w:w="721" w:type="dxa"/>
            <w:noWrap w:val="0"/>
            <w:vAlign w:val="bottom"/>
          </w:tcPr>
          <w:p w14:paraId="2505D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27760</w:t>
            </w:r>
          </w:p>
        </w:tc>
        <w:tc>
          <w:tcPr>
            <w:tcW w:w="823" w:type="dxa"/>
            <w:noWrap w:val="0"/>
            <w:vAlign w:val="bottom"/>
          </w:tcPr>
          <w:p w14:paraId="1C8FB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25620</w:t>
            </w:r>
          </w:p>
        </w:tc>
        <w:tc>
          <w:tcPr>
            <w:tcW w:w="669" w:type="dxa"/>
            <w:noWrap w:val="0"/>
            <w:vAlign w:val="bottom"/>
          </w:tcPr>
          <w:p w14:paraId="3BFCF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3.232</w:t>
            </w:r>
          </w:p>
        </w:tc>
        <w:tc>
          <w:tcPr>
            <w:tcW w:w="710" w:type="dxa"/>
            <w:noWrap w:val="0"/>
            <w:vAlign w:val="bottom"/>
          </w:tcPr>
          <w:p w14:paraId="73717A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1.354</w:t>
            </w:r>
          </w:p>
        </w:tc>
        <w:tc>
          <w:tcPr>
            <w:tcW w:w="751" w:type="dxa"/>
            <w:noWrap w:val="0"/>
            <w:vAlign w:val="bottom"/>
          </w:tcPr>
          <w:p w14:paraId="5A79E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5.328</w:t>
            </w:r>
          </w:p>
        </w:tc>
        <w:tc>
          <w:tcPr>
            <w:tcW w:w="749" w:type="dxa"/>
            <w:noWrap w:val="0"/>
            <w:vAlign w:val="bottom"/>
          </w:tcPr>
          <w:p w14:paraId="3D796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1.341</w:t>
            </w:r>
          </w:p>
        </w:tc>
        <w:tc>
          <w:tcPr>
            <w:tcW w:w="749" w:type="dxa"/>
            <w:noWrap w:val="0"/>
            <w:vAlign w:val="bottom"/>
          </w:tcPr>
          <w:p w14:paraId="4E4648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1.265</w:t>
            </w:r>
          </w:p>
        </w:tc>
      </w:tr>
      <w:tr w14:paraId="38968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4D2B7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910" w:type="dxa"/>
            <w:noWrap w:val="0"/>
            <w:vAlign w:val="bottom"/>
          </w:tcPr>
          <w:p w14:paraId="4EB6F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8510</w:t>
            </w:r>
          </w:p>
        </w:tc>
        <w:tc>
          <w:tcPr>
            <w:tcW w:w="762" w:type="dxa"/>
            <w:noWrap w:val="0"/>
            <w:vAlign w:val="bottom"/>
          </w:tcPr>
          <w:p w14:paraId="1FA7B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6410</w:t>
            </w:r>
          </w:p>
        </w:tc>
        <w:tc>
          <w:tcPr>
            <w:tcW w:w="690" w:type="dxa"/>
            <w:noWrap w:val="0"/>
            <w:vAlign w:val="bottom"/>
          </w:tcPr>
          <w:p w14:paraId="156D0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29360</w:t>
            </w:r>
          </w:p>
        </w:tc>
        <w:tc>
          <w:tcPr>
            <w:tcW w:w="792" w:type="dxa"/>
            <w:noWrap w:val="0"/>
            <w:vAlign w:val="bottom"/>
          </w:tcPr>
          <w:p w14:paraId="65AEA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0295F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7A20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68324A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1.857</w:t>
            </w:r>
          </w:p>
        </w:tc>
        <w:tc>
          <w:tcPr>
            <w:tcW w:w="710" w:type="dxa"/>
            <w:noWrap w:val="0"/>
            <w:vAlign w:val="bottom"/>
          </w:tcPr>
          <w:p w14:paraId="08548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3.116</w:t>
            </w:r>
          </w:p>
        </w:tc>
        <w:tc>
          <w:tcPr>
            <w:tcW w:w="751" w:type="dxa"/>
            <w:noWrap w:val="0"/>
            <w:vAlign w:val="bottom"/>
          </w:tcPr>
          <w:p w14:paraId="64FA3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6CF38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06B4E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1A7055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08AA57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9</w:t>
            </w:r>
          </w:p>
        </w:tc>
        <w:tc>
          <w:tcPr>
            <w:tcW w:w="910" w:type="dxa"/>
            <w:noWrap w:val="0"/>
            <w:vAlign w:val="bottom"/>
          </w:tcPr>
          <w:p w14:paraId="31B83A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9320</w:t>
            </w:r>
          </w:p>
        </w:tc>
        <w:tc>
          <w:tcPr>
            <w:tcW w:w="762" w:type="dxa"/>
            <w:noWrap w:val="0"/>
            <w:vAlign w:val="bottom"/>
          </w:tcPr>
          <w:p w14:paraId="132831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13400</w:t>
            </w:r>
          </w:p>
        </w:tc>
        <w:tc>
          <w:tcPr>
            <w:tcW w:w="690" w:type="dxa"/>
            <w:noWrap w:val="0"/>
            <w:vAlign w:val="bottom"/>
          </w:tcPr>
          <w:p w14:paraId="3AC1C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23720</w:t>
            </w:r>
          </w:p>
        </w:tc>
        <w:tc>
          <w:tcPr>
            <w:tcW w:w="792" w:type="dxa"/>
            <w:noWrap w:val="0"/>
            <w:vAlign w:val="bottom"/>
          </w:tcPr>
          <w:p w14:paraId="14AF0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29340</w:t>
            </w:r>
          </w:p>
        </w:tc>
        <w:tc>
          <w:tcPr>
            <w:tcW w:w="721" w:type="dxa"/>
            <w:noWrap w:val="0"/>
            <w:vAlign w:val="bottom"/>
          </w:tcPr>
          <w:p w14:paraId="07E88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23FE7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6D074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1.773</w:t>
            </w:r>
          </w:p>
        </w:tc>
        <w:tc>
          <w:tcPr>
            <w:tcW w:w="710" w:type="dxa"/>
            <w:noWrap w:val="0"/>
            <w:vAlign w:val="bottom"/>
          </w:tcPr>
          <w:p w14:paraId="7952E1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2.744</w:t>
            </w:r>
          </w:p>
        </w:tc>
        <w:tc>
          <w:tcPr>
            <w:tcW w:w="751" w:type="dxa"/>
            <w:noWrap w:val="0"/>
            <w:vAlign w:val="bottom"/>
          </w:tcPr>
          <w:p w14:paraId="28675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1.319</w:t>
            </w:r>
          </w:p>
        </w:tc>
        <w:tc>
          <w:tcPr>
            <w:tcW w:w="749" w:type="dxa"/>
            <w:noWrap w:val="0"/>
            <w:vAlign w:val="bottom"/>
          </w:tcPr>
          <w:p w14:paraId="53CE5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1FAAC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  <w:tr w14:paraId="7BA86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jc w:val="center"/>
        </w:trPr>
        <w:tc>
          <w:tcPr>
            <w:tcW w:w="558" w:type="dxa"/>
            <w:noWrap w:val="0"/>
            <w:vAlign w:val="center"/>
          </w:tcPr>
          <w:p w14:paraId="33CED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10</w:t>
            </w:r>
          </w:p>
        </w:tc>
        <w:tc>
          <w:tcPr>
            <w:tcW w:w="910" w:type="dxa"/>
            <w:noWrap w:val="0"/>
            <w:vAlign w:val="bottom"/>
          </w:tcPr>
          <w:p w14:paraId="68A7E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8560</w:t>
            </w:r>
          </w:p>
        </w:tc>
        <w:tc>
          <w:tcPr>
            <w:tcW w:w="762" w:type="dxa"/>
            <w:noWrap w:val="0"/>
            <w:vAlign w:val="bottom"/>
          </w:tcPr>
          <w:p w14:paraId="66B612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7590</w:t>
            </w:r>
          </w:p>
        </w:tc>
        <w:tc>
          <w:tcPr>
            <w:tcW w:w="690" w:type="dxa"/>
            <w:noWrap w:val="0"/>
            <w:vAlign w:val="bottom"/>
          </w:tcPr>
          <w:p w14:paraId="626E4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29240</w:t>
            </w:r>
          </w:p>
        </w:tc>
        <w:tc>
          <w:tcPr>
            <w:tcW w:w="792" w:type="dxa"/>
            <w:noWrap w:val="0"/>
            <w:vAlign w:val="bottom"/>
          </w:tcPr>
          <w:p w14:paraId="54937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21" w:type="dxa"/>
            <w:noWrap w:val="0"/>
            <w:vAlign w:val="bottom"/>
          </w:tcPr>
          <w:p w14:paraId="1408B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823" w:type="dxa"/>
            <w:noWrap w:val="0"/>
            <w:vAlign w:val="bottom"/>
          </w:tcPr>
          <w:p w14:paraId="02C60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669" w:type="dxa"/>
            <w:noWrap w:val="0"/>
            <w:vAlign w:val="bottom"/>
          </w:tcPr>
          <w:p w14:paraId="2B464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1.81</w:t>
            </w:r>
            <w:r>
              <w:rPr>
                <w:rFonts w:hint="eastAsia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10" w:type="dxa"/>
            <w:noWrap w:val="0"/>
            <w:vAlign w:val="bottom"/>
          </w:tcPr>
          <w:p w14:paraId="625025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3.405</w:t>
            </w:r>
          </w:p>
        </w:tc>
        <w:tc>
          <w:tcPr>
            <w:tcW w:w="751" w:type="dxa"/>
            <w:noWrap w:val="0"/>
            <w:vAlign w:val="bottom"/>
          </w:tcPr>
          <w:p w14:paraId="0271C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3596E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49" w:type="dxa"/>
            <w:noWrap w:val="0"/>
            <w:vAlign w:val="bottom"/>
          </w:tcPr>
          <w:p w14:paraId="3DDC7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bottom"/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</w:tr>
    </w:tbl>
    <w:p w14:paraId="31AF26B9">
      <w:pPr>
        <w:pStyle w:val="2"/>
        <w:spacing w:line="240" w:lineRule="auto"/>
        <w:ind w:firstLine="0" w:firstLineChars="0"/>
        <w:rPr>
          <w:rFonts w:hint="default" w:ascii="Times New Roman" w:hAnsi="Times New Roman" w:eastAsia="楷体_GB2312" w:cs="Times New Roman"/>
          <w:highlight w:val="none"/>
        </w:rPr>
      </w:pPr>
    </w:p>
    <w:p w14:paraId="3052FE66">
      <w:pPr>
        <w:pStyle w:val="2"/>
        <w:spacing w:line="240" w:lineRule="auto"/>
        <w:ind w:firstLine="0" w:firstLineChars="0"/>
        <w:rPr>
          <w:rFonts w:hint="default" w:ascii="Times New Roman" w:hAnsi="Times New Roman" w:eastAsia="楷体_GB2312" w:cs="Times New Roman"/>
          <w:highlight w:val="none"/>
        </w:rPr>
      </w:pPr>
    </w:p>
    <w:tbl>
      <w:tblPr>
        <w:tblStyle w:val="3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502"/>
      </w:tblGrid>
      <w:tr w14:paraId="057FC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9" w:type="dxa"/>
            <w:noWrap w:val="0"/>
            <w:vAlign w:val="center"/>
          </w:tcPr>
          <w:p w14:paraId="1F375D8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/>
                <w:highlight w:val="none"/>
                <w:lang w:eastAsia="zh-CN"/>
              </w:rPr>
              <w:drawing>
                <wp:inline distT="0" distB="0" distL="114300" distR="114300">
                  <wp:extent cx="2826385" cy="2119630"/>
                  <wp:effectExtent l="0" t="0" r="8255" b="13970"/>
                  <wp:docPr id="28" name="图片 63" descr="不同车道车辆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3" descr="不同车道车辆数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2" w:type="dxa"/>
            <w:noWrap w:val="0"/>
            <w:vAlign w:val="center"/>
          </w:tcPr>
          <w:p w14:paraId="7B35417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楷体_GB2312"/>
                <w:highlight w:val="none"/>
                <w:lang w:eastAsia="zh-CN"/>
              </w:rPr>
            </w:pPr>
            <w:r>
              <w:rPr>
                <w:rFonts w:hint="eastAsia" w:eastAsia="楷体_GB2312"/>
                <w:highlight w:val="none"/>
                <w:lang w:eastAsia="zh-CN"/>
              </w:rPr>
              <w:drawing>
                <wp:inline distT="0" distB="0" distL="114300" distR="114300">
                  <wp:extent cx="2719705" cy="1483360"/>
                  <wp:effectExtent l="0" t="0" r="8255" b="10160"/>
                  <wp:docPr id="29" name="图片 64" descr="不同车速区间车辆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4" descr="不同车速区间车辆数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705" cy="148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746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9" w:type="dxa"/>
            <w:noWrap w:val="0"/>
            <w:vAlign w:val="center"/>
          </w:tcPr>
          <w:p w14:paraId="4206ED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（a）不同车道车辆数</w:t>
            </w:r>
          </w:p>
        </w:tc>
        <w:tc>
          <w:tcPr>
            <w:tcW w:w="4502" w:type="dxa"/>
            <w:noWrap w:val="0"/>
            <w:vAlign w:val="center"/>
          </w:tcPr>
          <w:p w14:paraId="164CE6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 w:ascii="Times New Roman" w:hAnsi="Times New Roman" w:eastAsia="楷体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（b）不同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车速</w:t>
            </w:r>
            <w:r>
              <w:rPr>
                <w:rFonts w:hint="default" w:ascii="Times New Roman" w:hAnsi="Times New Roman" w:eastAsia="楷体_GB2312" w:cs="Times New Roman"/>
                <w:highlight w:val="none"/>
              </w:rPr>
              <w:t>车辆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数</w:t>
            </w:r>
          </w:p>
        </w:tc>
      </w:tr>
      <w:tr w14:paraId="1A7CE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9" w:type="dxa"/>
            <w:noWrap w:val="0"/>
            <w:vAlign w:val="center"/>
          </w:tcPr>
          <w:p w14:paraId="7D641D3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/>
                <w:highlight w:val="none"/>
                <w:lang w:eastAsia="zh-CN"/>
              </w:rPr>
              <w:drawing>
                <wp:inline distT="0" distB="0" distL="114300" distR="114300">
                  <wp:extent cx="2824480" cy="1540510"/>
                  <wp:effectExtent l="0" t="0" r="10160" b="13970"/>
                  <wp:docPr id="30" name="图片 65" descr="不同车重区间车辆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5" descr="不同车重区间车辆数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48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2" w:type="dxa"/>
            <w:noWrap w:val="0"/>
            <w:vAlign w:val="center"/>
          </w:tcPr>
          <w:p w14:paraId="5454E4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-100" w:right="0" w:hanging="240" w:hangingChars="100"/>
              <w:jc w:val="center"/>
              <w:rPr>
                <w:rFonts w:hint="default" w:ascii="Times New Roman" w:hAnsi="Times New Roman" w:eastAsia="楷体_GB2312" w:cs="Times New Roman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  <w:lang w:eastAsia="zh-CN"/>
              </w:rPr>
              <w:drawing>
                <wp:inline distT="0" distB="0" distL="114300" distR="114300">
                  <wp:extent cx="2720975" cy="1088390"/>
                  <wp:effectExtent l="0" t="0" r="6985" b="8890"/>
                  <wp:docPr id="31" name="图片 66" descr="不同小时区间车辆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6" descr="不同小时区间车辆数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975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D2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9" w:type="dxa"/>
            <w:noWrap w:val="0"/>
            <w:vAlign w:val="center"/>
          </w:tcPr>
          <w:p w14:paraId="29B1C1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（c）不同重量车辆数</w:t>
            </w:r>
          </w:p>
        </w:tc>
        <w:tc>
          <w:tcPr>
            <w:tcW w:w="4502" w:type="dxa"/>
            <w:noWrap w:val="0"/>
            <w:vAlign w:val="center"/>
          </w:tcPr>
          <w:p w14:paraId="2ECE3F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ascii="Times New Roman" w:hAnsi="Times New Roman" w:eastAsia="楷体_GB2312" w:cs="Times New Roman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（d）不同时间段车辆总数</w:t>
            </w:r>
          </w:p>
        </w:tc>
      </w:tr>
      <w:tr w14:paraId="20B3D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7" w:hRule="atLeast"/>
          <w:jc w:val="center"/>
        </w:trPr>
        <w:tc>
          <w:tcPr>
            <w:tcW w:w="4669" w:type="dxa"/>
            <w:noWrap w:val="0"/>
            <w:vAlign w:val="center"/>
          </w:tcPr>
          <w:p w14:paraId="73882F0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/>
                <w:highlight w:val="none"/>
                <w:lang w:eastAsia="zh-CN"/>
              </w:rPr>
              <w:drawing>
                <wp:inline distT="0" distB="0" distL="114300" distR="114300">
                  <wp:extent cx="2820035" cy="1127760"/>
                  <wp:effectExtent l="0" t="0" r="14605" b="0"/>
                  <wp:docPr id="32" name="图片 67" descr="不同小时区间平均车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67" descr="不同小时区间平均车速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035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2" w:type="dxa"/>
            <w:noWrap w:val="0"/>
            <w:vAlign w:val="center"/>
          </w:tcPr>
          <w:p w14:paraId="2459A358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/>
                <w:highlight w:val="none"/>
                <w:lang w:eastAsia="zh-CN"/>
              </w:rPr>
              <w:drawing>
                <wp:inline distT="0" distB="0" distL="114300" distR="114300">
                  <wp:extent cx="2720975" cy="1088390"/>
                  <wp:effectExtent l="0" t="0" r="6985" b="8890"/>
                  <wp:docPr id="33" name="图片 68" descr="大于50t车辆时间分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8" descr="大于50t车辆时间分布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975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1EA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9" w:type="dxa"/>
            <w:noWrap w:val="0"/>
            <w:vAlign w:val="center"/>
          </w:tcPr>
          <w:p w14:paraId="5BE8E45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/>
                <w:highlight w:val="none"/>
                <w:lang w:eastAsia="zh-CN"/>
              </w:rPr>
              <w:t>（e）不同时间段平均车速</w:t>
            </w:r>
          </w:p>
        </w:tc>
        <w:tc>
          <w:tcPr>
            <w:tcW w:w="4502" w:type="dxa"/>
            <w:noWrap w:val="0"/>
            <w:vAlign w:val="center"/>
          </w:tcPr>
          <w:p w14:paraId="557E3C5F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highlight w:val="none"/>
              </w:rPr>
              <w:t>（f）大于50t车辆时间分布</w:t>
            </w:r>
          </w:p>
        </w:tc>
      </w:tr>
    </w:tbl>
    <w:p w14:paraId="20455383">
      <w:pPr>
        <w:pStyle w:val="61"/>
        <w:bidi w:val="0"/>
        <w:rPr>
          <w:rFonts w:hint="default" w:ascii="Times New Roman" w:hAnsi="Times New Roman" w:eastAsia="楷体_GB2312" w:cs="Times New Roman"/>
          <w:highlight w:val="none"/>
        </w:rPr>
      </w:pPr>
      <w:bookmarkStart w:id="99" w:name="_Ref2045"/>
      <w:r>
        <w:rPr>
          <w:rFonts w:hint="default" w:ascii="Times New Roman" w:hAnsi="Times New Roman" w:cs="Times New Roman"/>
          <w:highlight w:val="none"/>
        </w:rPr>
        <w:t xml:space="preserve">图 </w:t>
      </w: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STYLEREF 1 \s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highlight w:val="none"/>
        </w:rPr>
        <w:t>4</w:t>
      </w:r>
      <w:r>
        <w:rPr>
          <w:rFonts w:hint="default" w:ascii="Times New Roman" w:hAnsi="Times New Roman" w:cs="Times New Roman"/>
          <w:highlight w:val="none"/>
        </w:rPr>
        <w:fldChar w:fldCharType="end"/>
      </w:r>
      <w:r>
        <w:rPr>
          <w:rFonts w:hint="default" w:ascii="Times New Roman" w:hAnsi="Times New Roman" w:cs="Times New Roman"/>
          <w:highlight w:val="none"/>
        </w:rPr>
        <w:t>-</w:t>
      </w:r>
      <w:r>
        <w:rPr>
          <w:rFonts w:hint="default" w:ascii="Times New Roman" w:hAnsi="Times New Roman" w:cs="Times New Roman"/>
          <w:highlight w:val="none"/>
        </w:rPr>
        <w:fldChar w:fldCharType="begin"/>
      </w:r>
      <w:r>
        <w:rPr>
          <w:rFonts w:hint="default" w:ascii="Times New Roman" w:hAnsi="Times New Roman" w:cs="Times New Roman"/>
          <w:highlight w:val="none"/>
        </w:rPr>
        <w:instrText xml:space="preserve"> SEQ 图 \* ARABIC \s 1 </w:instrText>
      </w:r>
      <w:r>
        <w:rPr>
          <w:rFonts w:hint="default" w:ascii="Times New Roman" w:hAnsi="Times New Roman" w:cs="Times New Roman"/>
          <w:highlight w:val="none"/>
        </w:rPr>
        <w:fldChar w:fldCharType="separate"/>
      </w:r>
      <w:r>
        <w:rPr>
          <w:rFonts w:hint="default" w:ascii="Times New Roman" w:hAnsi="Times New Roman" w:cs="Times New Roman"/>
          <w:highlight w:val="none"/>
        </w:rPr>
        <w:t>3</w:t>
      </w:r>
      <w:r>
        <w:rPr>
          <w:rFonts w:hint="default" w:ascii="Times New Roman" w:hAnsi="Times New Roman" w:cs="Times New Roman"/>
          <w:highlight w:val="none"/>
        </w:rPr>
        <w:fldChar w:fldCharType="end"/>
      </w:r>
      <w:bookmarkEnd w:id="99"/>
      <w:r>
        <w:rPr>
          <w:rFonts w:hint="default" w:ascii="Times New Roman" w:hAnsi="Times New Roman" w:cs="Times New Roman"/>
          <w:highlight w:val="none"/>
        </w:rPr>
        <w:t xml:space="preserve"> </w:t>
      </w:r>
      <w:r>
        <w:rPr>
          <w:rFonts w:hint="default"/>
          <w:highlight w:val="none"/>
        </w:rPr>
        <w:t>桥梁交通流参数分析</w:t>
      </w:r>
    </w:p>
    <w:bookmarkEnd w:id="7"/>
    <w:bookmarkEnd w:id="8"/>
    <w:bookmarkEnd w:id="9"/>
    <w:bookmarkEnd w:id="10"/>
    <w:p w14:paraId="53CCA79D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 w:ascii="Times New Roman" w:hAnsi="Times New Roman" w:eastAsia="楷体_GB2312" w:cs="Times New Roman"/>
          <w:sz w:val="24"/>
          <w:szCs w:val="24"/>
          <w:highlight w:val="none"/>
        </w:rPr>
      </w:pPr>
      <w:bookmarkStart w:id="100" w:name="_Toc22503"/>
      <w:bookmarkStart w:id="101" w:name="_Toc14567"/>
      <w:r>
        <w:rPr>
          <w:rFonts w:hint="eastAsia" w:cs="Times New Roman"/>
          <w:sz w:val="24"/>
          <w:szCs w:val="24"/>
          <w:highlight w:val="none"/>
          <w:lang w:val="en-US" w:eastAsia="zh-CN"/>
        </w:rPr>
        <w:t>结构应变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监测</w:t>
      </w:r>
      <w:bookmarkEnd w:id="100"/>
      <w:bookmarkEnd w:id="101"/>
    </w:p>
    <w:p w14:paraId="4905E33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2"/>
        <w:rPr>
          <w:rFonts w:hint="default"/>
          <w:highlight w:val="none"/>
        </w:rPr>
      </w:pPr>
      <w:bookmarkStart w:id="102" w:name="_Toc348"/>
      <w:bookmarkStart w:id="103" w:name="_Toc16360"/>
      <w:r>
        <w:rPr>
          <w:rFonts w:hint="eastAsia"/>
          <w:highlight w:val="none"/>
          <w:lang w:val="en-US" w:eastAsia="zh-CN"/>
        </w:rPr>
        <w:t>主梁应变</w:t>
      </w:r>
      <w:bookmarkEnd w:id="102"/>
      <w:bookmarkEnd w:id="103"/>
    </w:p>
    <w:p w14:paraId="0BF3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2" w:firstLineChars="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-SA"/>
        </w:rPr>
        <w:t>主</w:t>
      </w:r>
      <w:r>
        <w:rPr>
          <w:rFonts w:hint="eastAsia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-SA"/>
        </w:rPr>
        <w:t>梁各位置的应变采用应变传感器进行监测，采样的频率为1h一次。各截面应变的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-SA"/>
        </w:rPr>
        <w:t>箱线图</w:t>
      </w:r>
      <w:r>
        <w:rPr>
          <w:rFonts w:hint="eastAsia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-SA"/>
        </w:rPr>
        <w:t>如图3-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-SA"/>
        </w:rPr>
        <w:t>4</w:t>
      </w:r>
      <w:r>
        <w:rPr>
          <w:rFonts w:hint="eastAsia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-SA"/>
        </w:rPr>
        <w:t>所示，图中每个箱线对应于一个应变测点，其中上边缘、下边缘分别代表数据的最大值、最小值，箱体的三条线分别代表上四分位数、中位数和下四分位数。黄线和红线分别对应黄色预警线和红色预警线。</w:t>
      </w:r>
    </w:p>
    <w:p w14:paraId="4ED82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2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监测</w:t>
      </w:r>
      <w:r>
        <w:rPr>
          <w:rFonts w:hint="eastAsia"/>
          <w:color w:val="auto"/>
          <w:highlight w:val="none"/>
        </w:rPr>
        <w:t>结果</w:t>
      </w:r>
      <w:r>
        <w:rPr>
          <w:rFonts w:hint="eastAsia"/>
          <w:color w:val="auto"/>
          <w:highlight w:val="none"/>
          <w:lang w:val="en-US" w:eastAsia="zh-CN"/>
        </w:rPr>
        <w:t>表明</w:t>
      </w:r>
      <w:r>
        <w:rPr>
          <w:rFonts w:hint="eastAsia"/>
          <w:color w:val="auto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各测点应变值在之间，未出现超过各级超限阈值和报警的情况。</w:t>
      </w:r>
    </w:p>
    <w:p w14:paraId="3E88B13D">
      <w:pPr>
        <w:pStyle w:val="2"/>
        <w:rPr>
          <w:rFonts w:hint="default"/>
          <w:lang w:val="en-US" w:eastAsia="zh-CN"/>
        </w:rPr>
      </w:pPr>
    </w:p>
    <w:p w14:paraId="21CE611D">
      <w:pPr>
        <w:pStyle w:val="13"/>
        <w:ind w:left="0" w:leftChars="0" w:firstLine="0" w:firstLineChars="0"/>
        <w:jc w:val="cente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图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</w:rPr>
        <w:t xml:space="preserve"> </w:t>
      </w:r>
      <w:r>
        <w:rPr>
          <w:rFonts w:hint="eastAsia"/>
          <w:highlight w:val="none"/>
          <w:lang w:val="en-US" w:eastAsia="zh-CN"/>
        </w:rPr>
        <w:t>主</w:t>
      </w:r>
      <w:r>
        <w:rPr>
          <w:rFonts w:hint="eastAsia"/>
          <w:highlight w:val="none"/>
        </w:rPr>
        <w:t>梁各截面位置应变</w:t>
      </w:r>
      <w:r>
        <w:rPr>
          <w:rFonts w:hint="eastAsia"/>
          <w:color w:val="auto"/>
          <w:highlight w:val="none"/>
          <w:lang w:val="en-US" w:eastAsia="zh-CN"/>
        </w:rPr>
        <w:t>时程曲线</w:t>
      </w:r>
      <w:r>
        <w:rPr>
          <w:rFonts w:hint="eastAsia"/>
          <w:highlight w:val="none"/>
          <w:lang w:val="en-US" w:eastAsia="zh-CN"/>
        </w:rPr>
        <w:t>图</w:t>
      </w:r>
    </w:p>
    <w:p w14:paraId="2CF76F95">
      <w:pPr>
        <w:rPr>
          <w:rFonts w:hint="eastAsia"/>
          <w:highlight w:val="none"/>
          <w:lang w:val="en-US" w:eastAsia="zh-CN"/>
        </w:rPr>
      </w:pPr>
      <w:bookmarkStart w:id="130" w:name="_GoBack"/>
      <w:bookmarkEnd w:id="130"/>
    </w:p>
    <w:p w14:paraId="0E3E87C5">
      <w:pPr>
        <w:pStyle w:val="13"/>
        <w:ind w:left="0" w:leftChars="0" w:firstLine="0" w:firstLineChars="0"/>
        <w:jc w:val="center"/>
        <w:rPr>
          <w:rFonts w:hint="default" w:eastAsia="仿宋"/>
          <w:color w:val="FF0000"/>
          <w:highlight w:val="none"/>
          <w:lang w:val="en-US" w:eastAsia="zh-CN"/>
        </w:rPr>
      </w:pPr>
      <w:r>
        <w:rPr>
          <w:rFonts w:hint="eastAsia"/>
          <w:highlight w:val="none"/>
        </w:rPr>
        <w:t>图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5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</w:rPr>
        <w:t xml:space="preserve"> </w:t>
      </w:r>
      <w:r>
        <w:rPr>
          <w:rFonts w:hint="eastAsia"/>
          <w:highlight w:val="none"/>
          <w:lang w:val="en-US" w:eastAsia="zh-CN"/>
        </w:rPr>
        <w:t>主</w:t>
      </w:r>
      <w:r>
        <w:rPr>
          <w:rFonts w:hint="eastAsia"/>
          <w:highlight w:val="none"/>
        </w:rPr>
        <w:t>梁各截面位置应变</w:t>
      </w:r>
      <w:r>
        <w:rPr>
          <w:rFonts w:hint="eastAsia"/>
          <w:color w:val="auto"/>
          <w:highlight w:val="none"/>
          <w:lang w:val="en-US" w:eastAsia="zh-CN"/>
        </w:rPr>
        <w:t>箱线</w:t>
      </w:r>
      <w:r>
        <w:rPr>
          <w:rFonts w:hint="eastAsia"/>
          <w:highlight w:val="none"/>
          <w:lang w:val="en-US" w:eastAsia="zh-CN"/>
        </w:rPr>
        <w:t>图</w:t>
      </w:r>
    </w:p>
    <w:p w14:paraId="5046348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="0" w:rightChars="0" w:firstLine="480" w:firstLineChars="200"/>
        <w:jc w:val="both"/>
        <w:textAlignment w:val="auto"/>
        <w:outlineLvl w:val="2"/>
        <w:rPr>
          <w:highlight w:val="none"/>
        </w:rPr>
      </w:pPr>
      <w:bookmarkStart w:id="104" w:name="_Toc32289"/>
      <w:bookmarkStart w:id="105" w:name="_Toc4552"/>
      <w:r>
        <w:rPr>
          <w:rFonts w:hint="eastAsia"/>
          <w:highlight w:val="none"/>
        </w:rPr>
        <w:t>桥塔应变</w:t>
      </w:r>
      <w:bookmarkEnd w:id="104"/>
      <w:bookmarkEnd w:id="105"/>
    </w:p>
    <w:p w14:paraId="65E1C47E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>桥塔应变传感器数据的采集形式与箱梁内应变采集形式相同。桥塔的应变</w:t>
      </w:r>
      <w:r>
        <w:rPr>
          <w:rFonts w:hint="eastAsia"/>
          <w:highlight w:val="none"/>
          <w:lang w:val="en-US" w:eastAsia="zh-CN"/>
        </w:rPr>
        <w:t>的箱线图</w:t>
      </w:r>
      <w:r>
        <w:rPr>
          <w:rFonts w:hint="eastAsia"/>
          <w:highlight w:val="none"/>
        </w:rPr>
        <w:t>如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REF _Ref7108 \h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-5</w:t>
      </w:r>
      <w:r>
        <w:rPr>
          <w:rFonts w:hint="eastAsia"/>
          <w:highlight w:val="none"/>
          <w:lang w:eastAsia="zh-CN"/>
        </w:rPr>
        <w:fldChar w:fldCharType="end"/>
      </w:r>
      <w:r>
        <w:rPr>
          <w:rFonts w:hint="eastAsia"/>
          <w:highlight w:val="none"/>
        </w:rPr>
        <w:t>所示</w:t>
      </w:r>
      <w:r>
        <w:rPr>
          <w:rFonts w:hint="eastAsia"/>
          <w:highlight w:val="none"/>
          <w:lang w:eastAsia="zh-CN"/>
        </w:rPr>
        <w:t>。</w:t>
      </w:r>
    </w:p>
    <w:p w14:paraId="450D8D8D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  <w:lang w:val="en-US" w:eastAsia="zh-CN"/>
        </w:rPr>
        <w:t>监测</w:t>
      </w:r>
      <w:r>
        <w:rPr>
          <w:rFonts w:hint="eastAsia"/>
          <w:color w:val="auto"/>
          <w:highlight w:val="none"/>
        </w:rPr>
        <w:t>结果</w:t>
      </w:r>
      <w:r>
        <w:rPr>
          <w:rFonts w:hint="eastAsia"/>
          <w:color w:val="auto"/>
          <w:highlight w:val="none"/>
          <w:lang w:val="en-US" w:eastAsia="zh-CN"/>
        </w:rPr>
        <w:t>表明</w:t>
      </w:r>
      <w:r>
        <w:rPr>
          <w:rFonts w:hint="eastAsia"/>
          <w:color w:val="auto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各测点应变值在之间，未出现超过各级超限阈值和报警的情况。</w:t>
      </w:r>
    </w:p>
    <w:p w14:paraId="595CAFAA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ind w:firstLine="480"/>
        <w:textAlignment w:val="baseline"/>
        <w:rPr>
          <w:rFonts w:hint="default" w:eastAsia="楷体_GB2312"/>
          <w:highlight w:val="none"/>
          <w:lang w:val="en-US" w:eastAsia="zh-CN"/>
        </w:rPr>
      </w:pPr>
    </w:p>
    <w:p w14:paraId="43933249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  <w:bookmarkStart w:id="106" w:name="_Ref7108"/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6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bookmarkEnd w:id="106"/>
      <w:r>
        <w:rPr>
          <w:rFonts w:hint="eastAsia"/>
          <w:color w:val="auto"/>
          <w:highlight w:val="none"/>
        </w:rPr>
        <w:t xml:space="preserve"> 桥塔</w:t>
      </w:r>
      <w:r>
        <w:rPr>
          <w:rFonts w:hint="eastAsia"/>
          <w:highlight w:val="none"/>
        </w:rPr>
        <w:t>各截面位置应变</w:t>
      </w:r>
      <w:r>
        <w:rPr>
          <w:rFonts w:hint="eastAsia"/>
          <w:color w:val="auto"/>
          <w:highlight w:val="none"/>
          <w:lang w:val="en-US" w:eastAsia="zh-CN"/>
        </w:rPr>
        <w:t>时程曲线</w:t>
      </w:r>
      <w:r>
        <w:rPr>
          <w:rFonts w:hint="eastAsia"/>
          <w:highlight w:val="none"/>
          <w:lang w:val="en-US" w:eastAsia="zh-CN"/>
        </w:rPr>
        <w:t>图</w:t>
      </w:r>
    </w:p>
    <w:p w14:paraId="7D536660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</w:p>
    <w:p w14:paraId="16D5F753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7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桥塔</w:t>
      </w:r>
      <w:r>
        <w:rPr>
          <w:rFonts w:hint="eastAsia"/>
          <w:highlight w:val="none"/>
        </w:rPr>
        <w:t>各截面位置应变</w:t>
      </w:r>
      <w:r>
        <w:rPr>
          <w:rFonts w:hint="eastAsia"/>
          <w:highlight w:val="none"/>
          <w:lang w:val="en-US" w:eastAsia="zh-CN"/>
        </w:rPr>
        <w:t>箱线</w:t>
      </w:r>
      <w:r>
        <w:rPr>
          <w:rFonts w:hint="eastAsia"/>
          <w:color w:val="auto"/>
          <w:highlight w:val="none"/>
          <w:lang w:val="en-US" w:eastAsia="zh-CN"/>
        </w:rPr>
        <w:t>曲线</w:t>
      </w:r>
      <w:r>
        <w:rPr>
          <w:rFonts w:hint="eastAsia"/>
          <w:highlight w:val="none"/>
          <w:lang w:val="en-US" w:eastAsia="zh-CN"/>
        </w:rPr>
        <w:t>图</w:t>
      </w:r>
    </w:p>
    <w:p w14:paraId="15AD40EF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07" w:name="_Toc3350"/>
      <w:bookmarkStart w:id="108" w:name="_Toc18541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主塔倾斜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监测</w:t>
      </w:r>
      <w:bookmarkEnd w:id="107"/>
      <w:bookmarkEnd w:id="108"/>
    </w:p>
    <w:p w14:paraId="1AC95904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ind w:firstLine="480"/>
        <w:textAlignment w:val="baseline"/>
        <w:rPr>
          <w:rFonts w:hint="eastAsia"/>
          <w:highlight w:val="none"/>
        </w:rPr>
      </w:pPr>
      <w:bookmarkStart w:id="109" w:name="_Toc22899"/>
      <w:bookmarkEnd w:id="109"/>
      <w:r>
        <w:rPr>
          <w:rFonts w:hint="eastAsia"/>
          <w:highlight w:val="none"/>
          <w:lang w:val="en-US" w:eastAsia="zh-CN"/>
        </w:rPr>
        <w:t>主塔</w:t>
      </w:r>
      <w:r>
        <w:rPr>
          <w:rFonts w:hint="eastAsia"/>
          <w:highlight w:val="none"/>
        </w:rPr>
        <w:t>倾角偏移的方向以闽侯</w:t>
      </w:r>
      <w:r>
        <w:rPr>
          <w:rFonts w:hint="eastAsia"/>
          <w:highlight w:val="none"/>
          <w:lang w:val="en-US" w:eastAsia="zh-CN"/>
        </w:rPr>
        <w:t>上街</w:t>
      </w:r>
      <w:r>
        <w:rPr>
          <w:rFonts w:hint="eastAsia"/>
          <w:highlight w:val="none"/>
        </w:rPr>
        <w:t>-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eastAsia"/>
          <w:highlight w:val="none"/>
        </w:rPr>
        <w:t>为纵桥向，上游-下游为横桥向。其中朝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eastAsia"/>
          <w:highlight w:val="none"/>
        </w:rPr>
        <w:t>方向</w:t>
      </w:r>
      <w:r>
        <w:rPr>
          <w:rFonts w:hint="eastAsia"/>
          <w:highlight w:val="none"/>
          <w:lang w:val="en-US" w:eastAsia="zh-CN"/>
        </w:rPr>
        <w:t>为正</w:t>
      </w:r>
      <w:r>
        <w:rPr>
          <w:rFonts w:hint="eastAsia"/>
          <w:highlight w:val="none"/>
        </w:rPr>
        <w:t>、闽侯</w:t>
      </w:r>
      <w:r>
        <w:rPr>
          <w:rFonts w:hint="eastAsia"/>
          <w:highlight w:val="none"/>
          <w:lang w:val="en-US" w:eastAsia="zh-CN"/>
        </w:rPr>
        <w:t>上街</w:t>
      </w:r>
      <w:r>
        <w:rPr>
          <w:rFonts w:hint="eastAsia"/>
          <w:highlight w:val="none"/>
        </w:rPr>
        <w:t>方向为</w:t>
      </w:r>
      <w:r>
        <w:rPr>
          <w:rFonts w:hint="eastAsia"/>
          <w:highlight w:val="none"/>
          <w:lang w:val="en-US" w:eastAsia="zh-CN"/>
        </w:rPr>
        <w:t>负</w:t>
      </w:r>
      <w:r>
        <w:rPr>
          <w:rFonts w:hint="eastAsia"/>
          <w:highlight w:val="none"/>
        </w:rPr>
        <w:t>，朝上游方向为</w:t>
      </w:r>
      <w:r>
        <w:rPr>
          <w:rFonts w:hint="eastAsia"/>
          <w:highlight w:val="none"/>
          <w:lang w:val="en-US" w:eastAsia="zh-CN"/>
        </w:rPr>
        <w:t>正</w:t>
      </w:r>
      <w:r>
        <w:rPr>
          <w:rFonts w:hint="eastAsia"/>
          <w:highlight w:val="none"/>
        </w:rPr>
        <w:t>、朝下游方向为</w:t>
      </w:r>
      <w:r>
        <w:rPr>
          <w:rFonts w:hint="eastAsia"/>
          <w:highlight w:val="none"/>
          <w:lang w:val="en-US" w:eastAsia="zh-CN"/>
        </w:rPr>
        <w:t>负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各测点</w:t>
      </w:r>
      <w:r>
        <w:rPr>
          <w:rFonts w:hint="eastAsia"/>
          <w:highlight w:val="none"/>
        </w:rPr>
        <w:t>的倾斜幅值如图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-</w:t>
      </w:r>
      <w:r>
        <w:rPr>
          <w:rFonts w:hint="eastAsia"/>
          <w:highlight w:val="none"/>
          <w:lang w:val="en-US" w:eastAsia="zh-CN"/>
        </w:rPr>
        <w:t>6所示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监测结果表明，倾角X方向位移在~之间，Y方向位移在~之间，未出现超过各级超限阈值和报警的情况。</w:t>
      </w:r>
    </w:p>
    <w:p w14:paraId="1957E3CA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ind w:left="0" w:leftChars="0" w:firstLine="0" w:firstLineChars="0"/>
        <w:jc w:val="center"/>
        <w:textAlignment w:val="baseline"/>
        <w:rPr>
          <w:rFonts w:hint="eastAsia" w:eastAsia="楷体_GB2312"/>
          <w:highlight w:val="none"/>
          <w:lang w:eastAsia="zh-CN"/>
        </w:rPr>
      </w:pPr>
    </w:p>
    <w:p w14:paraId="72D5D09D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ind w:left="0" w:leftChars="0" w:firstLine="0" w:firstLineChars="0"/>
        <w:jc w:val="left"/>
        <w:textAlignment w:val="baseline"/>
        <w:rPr>
          <w:rFonts w:hint="eastAsia" w:eastAsia="楷体_GB2312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注：后缀-Z表示纵向，后缀-H表示横向</w:t>
      </w:r>
    </w:p>
    <w:p w14:paraId="0E17991B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8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桥塔</w:t>
      </w:r>
      <w:r>
        <w:rPr>
          <w:rFonts w:hint="eastAsia"/>
          <w:highlight w:val="none"/>
        </w:rPr>
        <w:t>各截面位置</w:t>
      </w:r>
      <w:r>
        <w:rPr>
          <w:rFonts w:hint="eastAsia"/>
          <w:highlight w:val="none"/>
          <w:lang w:val="en-US" w:eastAsia="zh-CN"/>
        </w:rPr>
        <w:t>倾角</w:t>
      </w:r>
      <w:r>
        <w:rPr>
          <w:rFonts w:hint="eastAsia"/>
          <w:color w:val="auto"/>
          <w:highlight w:val="none"/>
          <w:lang w:val="en-US" w:eastAsia="zh-CN"/>
        </w:rPr>
        <w:t>时程曲线</w:t>
      </w:r>
      <w:r>
        <w:rPr>
          <w:rFonts w:hint="eastAsia"/>
          <w:highlight w:val="none"/>
          <w:lang w:val="en-US" w:eastAsia="zh-CN"/>
        </w:rPr>
        <w:t>图</w:t>
      </w:r>
    </w:p>
    <w:p w14:paraId="0EE7E06B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10" w:name="_Toc15583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支座变位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监测</w:t>
      </w:r>
      <w:bookmarkEnd w:id="110"/>
    </w:p>
    <w:p w14:paraId="4EB92515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ind w:firstLine="480"/>
        <w:textAlignment w:val="baseline"/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支座变位</w:t>
      </w:r>
      <w:r>
        <w:rPr>
          <w:rFonts w:hint="eastAsia"/>
          <w:highlight w:val="none"/>
        </w:rPr>
        <w:t>的方向以闽侯</w:t>
      </w:r>
      <w:r>
        <w:rPr>
          <w:rFonts w:hint="eastAsia"/>
          <w:highlight w:val="none"/>
          <w:lang w:val="en-US" w:eastAsia="zh-CN"/>
        </w:rPr>
        <w:t>上街</w:t>
      </w:r>
      <w:r>
        <w:rPr>
          <w:rFonts w:hint="eastAsia"/>
          <w:highlight w:val="none"/>
        </w:rPr>
        <w:t>-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eastAsia"/>
          <w:highlight w:val="none"/>
        </w:rPr>
        <w:t>为纵桥向，上游-下游为横桥向。其中朝</w:t>
      </w:r>
      <w:r>
        <w:rPr>
          <w:rFonts w:hint="eastAsia"/>
          <w:highlight w:val="none"/>
          <w:lang w:val="en-US" w:eastAsia="zh-CN"/>
        </w:rPr>
        <w:t>农林大学</w:t>
      </w:r>
      <w:r>
        <w:rPr>
          <w:rFonts w:hint="eastAsia"/>
          <w:highlight w:val="none"/>
        </w:rPr>
        <w:t>方向</w:t>
      </w:r>
      <w:r>
        <w:rPr>
          <w:rFonts w:hint="eastAsia"/>
          <w:highlight w:val="none"/>
          <w:lang w:val="en-US" w:eastAsia="zh-CN"/>
        </w:rPr>
        <w:t>为正</w:t>
      </w:r>
      <w:r>
        <w:rPr>
          <w:rFonts w:hint="eastAsia"/>
          <w:highlight w:val="none"/>
        </w:rPr>
        <w:t>、闽侯</w:t>
      </w:r>
      <w:r>
        <w:rPr>
          <w:rFonts w:hint="eastAsia"/>
          <w:highlight w:val="none"/>
          <w:lang w:val="en-US" w:eastAsia="zh-CN"/>
        </w:rPr>
        <w:t>上街</w:t>
      </w:r>
      <w:r>
        <w:rPr>
          <w:rFonts w:hint="eastAsia"/>
          <w:highlight w:val="none"/>
        </w:rPr>
        <w:t>方向为</w:t>
      </w:r>
      <w:r>
        <w:rPr>
          <w:rFonts w:hint="eastAsia"/>
          <w:highlight w:val="none"/>
          <w:lang w:val="en-US" w:eastAsia="zh-CN"/>
        </w:rPr>
        <w:t>负</w:t>
      </w:r>
      <w:r>
        <w:rPr>
          <w:rFonts w:hint="eastAsia"/>
          <w:highlight w:val="none"/>
        </w:rPr>
        <w:t>，朝上游方向为</w:t>
      </w:r>
      <w:r>
        <w:rPr>
          <w:rFonts w:hint="eastAsia"/>
          <w:highlight w:val="none"/>
          <w:lang w:val="en-US" w:eastAsia="zh-CN"/>
        </w:rPr>
        <w:t>正</w:t>
      </w:r>
      <w:r>
        <w:rPr>
          <w:rFonts w:hint="eastAsia"/>
          <w:highlight w:val="none"/>
        </w:rPr>
        <w:t>、朝下游方向为</w:t>
      </w:r>
      <w:r>
        <w:rPr>
          <w:rFonts w:hint="eastAsia"/>
          <w:highlight w:val="none"/>
          <w:lang w:val="en-US" w:eastAsia="zh-CN"/>
        </w:rPr>
        <w:t>负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各测点</w:t>
      </w:r>
      <w:r>
        <w:rPr>
          <w:rFonts w:hint="eastAsia"/>
          <w:highlight w:val="none"/>
        </w:rPr>
        <w:t>的</w:t>
      </w:r>
      <w:r>
        <w:rPr>
          <w:rFonts w:hint="eastAsia"/>
          <w:highlight w:val="none"/>
          <w:lang w:val="en-US" w:eastAsia="zh-CN"/>
        </w:rPr>
        <w:t>支座位移时程如下图所示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监测结果表明，各测点支座位移在mm~mm之间，未出现超过各级超限阈值和报警的情况。</w:t>
      </w:r>
    </w:p>
    <w:p w14:paraId="47AD7F63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</w:p>
    <w:p w14:paraId="53E56B5D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</w:p>
    <w:p w14:paraId="3196273B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val="en-US" w:eastAsia="zh-CN"/>
        </w:rPr>
      </w:pPr>
    </w:p>
    <w:p w14:paraId="0757BC96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default" w:eastAsia="楷体_GB2312"/>
          <w:highlight w:val="none"/>
          <w:lang w:val="en-US"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9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典型测点支座变位时程曲线图</w:t>
      </w:r>
    </w:p>
    <w:p w14:paraId="3DCE89CF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11" w:name="_Toc15967"/>
      <w:bookmarkStart w:id="112" w:name="_Toc32475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吊索索力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监测</w:t>
      </w:r>
      <w:bookmarkEnd w:id="111"/>
      <w:bookmarkEnd w:id="112"/>
    </w:p>
    <w:p w14:paraId="266F56CC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（1）索力加速度时程数据</w:t>
      </w:r>
    </w:p>
    <w:p w14:paraId="2A33E74B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选取典型监测数据进行分析，监测结果表明，吊索加速度各测点绝对最大值为m/s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，各测点10min加速度均方根值最大为m/s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，未超过100cm/s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，均处于超限阈值范围之内，未出现超过各级超限阈值和报警的情况。</w:t>
      </w:r>
    </w:p>
    <w:p w14:paraId="03FECCF5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highlight w:val="none"/>
          <w:lang w:val="en-US" w:eastAsia="zh-CN"/>
        </w:rPr>
      </w:pPr>
    </w:p>
    <w:p w14:paraId="719ED8E7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highlight w:val="none"/>
          <w:lang w:val="en-US" w:eastAsia="zh-CN"/>
        </w:rPr>
      </w:pPr>
    </w:p>
    <w:p w14:paraId="7A66381D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76B0021F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10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典型测点</w:t>
      </w:r>
      <w:r>
        <w:rPr>
          <w:rFonts w:hint="eastAsia"/>
          <w:color w:val="auto"/>
          <w:highlight w:val="none"/>
        </w:rPr>
        <w:t>振动加速度绝对最大值时程图和10min加速度均方根图</w:t>
      </w:r>
    </w:p>
    <w:p w14:paraId="1C5A90A6">
      <w:pPr>
        <w:pStyle w:val="6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（2）索力时程数据</w:t>
      </w:r>
    </w:p>
    <w:p w14:paraId="2C9DE93A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利用频率法测试拉索索力是通过测试拉索自振频率、分析其自振特性从而得到其索力的方法。将索力传感器附着于拉吊索，拾取拉索的振动信号，经过滤波、信号放大、谱分析得到拉吊索的自振频率，然后根据拉索索力与频率间的固有关系来确定拉吊索的索力。</w:t>
      </w:r>
    </w:p>
    <w:p w14:paraId="35B07A70">
      <w:pPr>
        <w:ind w:firstLine="480"/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  <w:t>本次试验采样频率为20Hz。计算公式</w:t>
      </w:r>
      <w:r>
        <w:rPr>
          <w:rFonts w:hint="eastAsia" w:cs="Times New Roman"/>
          <w:kern w:val="28"/>
          <w:sz w:val="24"/>
          <w:szCs w:val="20"/>
          <w:highlight w:val="none"/>
          <w:lang w:val="en-US" w:eastAsia="zh-CN" w:bidi="ar-SA"/>
        </w:rPr>
        <w:t>按照</w:t>
      </w:r>
      <w:r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  <w:t>《公路桥梁荷载试验规程》</w:t>
      </w:r>
      <w:r>
        <w:rPr>
          <w:rFonts w:hint="eastAsia" w:cs="Times New Roman"/>
          <w:kern w:val="28"/>
          <w:sz w:val="24"/>
          <w:szCs w:val="20"/>
          <w:highlight w:val="none"/>
          <w:lang w:val="en-US" w:eastAsia="zh-CN" w:bidi="ar-SA"/>
        </w:rPr>
        <w:t>（JTG/T J21-01—2015）</w:t>
      </w:r>
      <w:r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  <w:t>，忽略索的抗弯刚度，以下式计算索力</w:t>
      </w:r>
      <w:r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  <w:object>
          <v:shape id="_x0000_i1025" o:spt="75" type="#_x0000_t75" style="height:13.4pt;width:10.9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0">
            <o:LockedField>false</o:LockedField>
          </o:OLEObject>
        </w:object>
      </w:r>
      <w:r>
        <w:rPr>
          <w:rFonts w:hint="eastAsia" w:ascii="Times New Roman" w:hAnsi="Times New Roman" w:eastAsia="楷体_GB2312" w:cs="Times New Roman"/>
          <w:kern w:val="28"/>
          <w:sz w:val="24"/>
          <w:szCs w:val="20"/>
          <w:highlight w:val="none"/>
          <w:lang w:val="en-US" w:eastAsia="zh-CN" w:bidi="ar-SA"/>
        </w:rPr>
        <w:t>：</w:t>
      </w:r>
    </w:p>
    <w:p w14:paraId="63000B82">
      <w:pPr>
        <w:ind w:firstLine="480"/>
        <w:jc w:val="center"/>
        <w:rPr>
          <w:rFonts w:ascii="楷体_GB2312" w:eastAsia="楷体_GB2312"/>
          <w:highlight w:val="none"/>
        </w:rPr>
      </w:pPr>
      <w:r>
        <w:rPr>
          <w:rFonts w:hint="eastAsia" w:ascii="楷体_GB2312" w:eastAsia="楷体_GB2312"/>
          <w:position w:val="-24"/>
          <w:highlight w:val="none"/>
        </w:rPr>
        <w:object>
          <v:shape id="_x0000_i1026" o:spt="75" type="#_x0000_t75" style="height:33.5pt;width:63.6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42">
            <o:LockedField>false</o:LockedField>
          </o:OLEObject>
        </w:object>
      </w:r>
    </w:p>
    <w:p w14:paraId="5BFE4F87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选取典型监测数据进行分析，监测结果如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_Ref3168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-7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所示。</w:t>
      </w:r>
    </w:p>
    <w:p w14:paraId="51990F87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highlight w:val="none"/>
          <w:lang w:val="en-US" w:eastAsia="zh-CN"/>
        </w:rPr>
      </w:pPr>
    </w:p>
    <w:p w14:paraId="6E21B5B0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highlight w:val="none"/>
          <w:lang w:val="en-US" w:eastAsia="zh-CN"/>
        </w:rPr>
      </w:pPr>
    </w:p>
    <w:p w14:paraId="5AEED4C0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highlight w:val="none"/>
          <w:lang w:val="en-US" w:eastAsia="zh-CN"/>
        </w:rPr>
      </w:pPr>
    </w:p>
    <w:p w14:paraId="0EA7D70C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11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典型测点索力</w:t>
      </w:r>
      <w:r>
        <w:rPr>
          <w:rFonts w:hint="eastAsia"/>
          <w:color w:val="auto"/>
          <w:highlight w:val="none"/>
        </w:rPr>
        <w:t>时程图</w:t>
      </w:r>
    </w:p>
    <w:p w14:paraId="39DDDE2A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监测结果表明，与成桥索力相比，索力变化范围在%~%之间，与成桥索力相比变化范围在10%以内。</w:t>
      </w:r>
    </w:p>
    <w:p w14:paraId="2DC8F23C">
      <w:pPr>
        <w:pStyle w:val="75"/>
        <w:jc w:val="center"/>
        <w:rPr>
          <w:rFonts w:hint="eastAsia"/>
          <w:highlight w:val="none"/>
          <w:lang w:eastAsia="zh-CN"/>
        </w:rPr>
      </w:pPr>
      <w:bookmarkStart w:id="113" w:name="_Ref3168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7</w:t>
      </w:r>
      <w:r>
        <w:rPr>
          <w:highlight w:val="none"/>
        </w:rPr>
        <w:fldChar w:fldCharType="end"/>
      </w:r>
      <w:bookmarkEnd w:id="113"/>
      <w:r>
        <w:rPr>
          <w:highlight w:val="none"/>
        </w:rPr>
        <w:t xml:space="preserve"> </w:t>
      </w:r>
      <w:r>
        <w:rPr>
          <w:rFonts w:hint="eastAsia"/>
          <w:highlight w:val="none"/>
        </w:rPr>
        <w:t>索力</w:t>
      </w:r>
      <w:r>
        <w:rPr>
          <w:rFonts w:hint="eastAsia"/>
          <w:highlight w:val="none"/>
          <w:lang w:val="en-US" w:eastAsia="zh-CN"/>
        </w:rPr>
        <w:t>监测结果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索力</w:t>
      </w:r>
      <w:r>
        <w:rPr>
          <w:rFonts w:hint="eastAsia"/>
          <w:highlight w:val="none"/>
          <w:lang w:eastAsia="zh-CN"/>
        </w:rPr>
        <w:t>单位：</w:t>
      </w:r>
      <w:r>
        <w:rPr>
          <w:rFonts w:hint="eastAsia"/>
          <w:highlight w:val="none"/>
          <w:lang w:val="en-US" w:eastAsia="zh-CN"/>
        </w:rPr>
        <w:t>kN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1220"/>
        <w:gridCol w:w="1220"/>
        <w:gridCol w:w="1220"/>
        <w:gridCol w:w="1220"/>
        <w:gridCol w:w="1236"/>
        <w:gridCol w:w="1149"/>
      </w:tblGrid>
      <w:tr w14:paraId="3C5036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  <w:tblHeader/>
          <w:jc w:val="center"/>
        </w:trPr>
        <w:tc>
          <w:tcPr>
            <w:tcW w:w="929" w:type="dxa"/>
            <w:noWrap w:val="0"/>
            <w:vAlign w:val="center"/>
          </w:tcPr>
          <w:p w14:paraId="4023F1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测点</w:t>
            </w:r>
            <w:r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  <w:t>编号</w:t>
            </w:r>
          </w:p>
        </w:tc>
        <w:tc>
          <w:tcPr>
            <w:tcW w:w="1220" w:type="dxa"/>
            <w:noWrap w:val="0"/>
            <w:vAlign w:val="center"/>
          </w:tcPr>
          <w:p w14:paraId="01E195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线密度</w:t>
            </w:r>
            <w:r>
              <w:rPr>
                <w:rFonts w:hint="eastAsia"/>
                <w:b/>
                <w:bCs/>
                <w:i/>
                <w:iCs/>
                <w:sz w:val="21"/>
                <w:szCs w:val="21"/>
                <w:highlight w:val="none"/>
                <w:lang w:val="en-US" w:eastAsia="zh-CN"/>
              </w:rPr>
              <w:t>ρ</w:t>
            </w:r>
          </w:p>
          <w:p w14:paraId="4ACAED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 w:cs="Times New Roman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>（kg/m）</w:t>
            </w:r>
          </w:p>
        </w:tc>
        <w:tc>
          <w:tcPr>
            <w:tcW w:w="1220" w:type="dxa"/>
            <w:noWrap w:val="0"/>
            <w:vAlign w:val="center"/>
          </w:tcPr>
          <w:p w14:paraId="623CFB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计算索长</w:t>
            </w:r>
            <w:r>
              <w:rPr>
                <w:rFonts w:hint="eastAsia"/>
                <w:b/>
                <w:bCs/>
                <w:i/>
                <w:iCs/>
                <w:sz w:val="21"/>
                <w:szCs w:val="21"/>
                <w:highlight w:val="none"/>
                <w:lang w:val="en-US" w:eastAsia="zh-CN"/>
              </w:rPr>
              <w:t>L</w:t>
            </w:r>
          </w:p>
          <w:p w14:paraId="251345FF">
            <w:pPr>
              <w:pStyle w:val="75"/>
              <w:keepNext w:val="0"/>
              <w:keepLines w:val="0"/>
              <w:suppressLineNumbers w:val="0"/>
              <w:spacing w:beforeAutospacing="0" w:afterAutospacing="0" w:line="240" w:lineRule="auto"/>
              <w:ind w:left="0" w:right="0"/>
              <w:jc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 w:cs="Times New Roman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>（m）</w:t>
            </w:r>
          </w:p>
        </w:tc>
        <w:tc>
          <w:tcPr>
            <w:tcW w:w="1220" w:type="dxa"/>
            <w:noWrap w:val="0"/>
            <w:vAlign w:val="center"/>
          </w:tcPr>
          <w:p w14:paraId="443110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基频</w:t>
            </w:r>
          </w:p>
          <w:p w14:paraId="51E78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="楷体_GB2312" w:cs="Times New Roman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>（Hz）</w:t>
            </w:r>
          </w:p>
        </w:tc>
        <w:tc>
          <w:tcPr>
            <w:tcW w:w="1220" w:type="dxa"/>
            <w:noWrap w:val="0"/>
            <w:vAlign w:val="center"/>
          </w:tcPr>
          <w:p w14:paraId="3FA557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="楷体_GB2312" w:cs="Times New Roman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本次</w:t>
            </w:r>
          </w:p>
          <w:p w14:paraId="2A20EB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  <w:t>索力</w:t>
            </w:r>
          </w:p>
        </w:tc>
        <w:tc>
          <w:tcPr>
            <w:tcW w:w="1236" w:type="dxa"/>
            <w:noWrap w:val="0"/>
            <w:vAlign w:val="center"/>
          </w:tcPr>
          <w:p w14:paraId="33FD03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  <w:t>成桥</w:t>
            </w:r>
          </w:p>
          <w:p w14:paraId="0FB7E1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  <w:t>索力</w:t>
            </w:r>
          </w:p>
        </w:tc>
        <w:tc>
          <w:tcPr>
            <w:tcW w:w="1149" w:type="dxa"/>
            <w:noWrap w:val="0"/>
            <w:vAlign w:val="center"/>
          </w:tcPr>
          <w:p w14:paraId="005E51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 w:eastAsia="楷体_GB2312" w:cs="Times New Roman"/>
                <w:b/>
                <w:sz w:val="21"/>
                <w:szCs w:val="21"/>
                <w:highlight w:val="none"/>
              </w:rPr>
              <w:t>对比变化率</w:t>
            </w:r>
          </w:p>
        </w:tc>
      </w:tr>
      <w:tr w14:paraId="5B01DC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19B6B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eastAsia="楷体_GB2312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CS4</w:t>
            </w:r>
          </w:p>
        </w:tc>
        <w:tc>
          <w:tcPr>
            <w:tcW w:w="1220" w:type="dxa"/>
            <w:noWrap w:val="0"/>
            <w:vAlign w:val="center"/>
          </w:tcPr>
          <w:p w14:paraId="04B37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26F6D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14.963</w:t>
            </w:r>
          </w:p>
        </w:tc>
        <w:tc>
          <w:tcPr>
            <w:tcW w:w="1220" w:type="dxa"/>
            <w:noWrap w:val="0"/>
            <w:vAlign w:val="center"/>
          </w:tcPr>
          <w:p w14:paraId="05BF4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6BF69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38079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2086.38</w:t>
            </w:r>
          </w:p>
        </w:tc>
        <w:tc>
          <w:tcPr>
            <w:tcW w:w="1149" w:type="dxa"/>
            <w:noWrap w:val="0"/>
            <w:vAlign w:val="center"/>
          </w:tcPr>
          <w:p w14:paraId="0CF8F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59D83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929" w:type="dxa"/>
            <w:noWrap w:val="0"/>
            <w:vAlign w:val="center"/>
          </w:tcPr>
          <w:p w14:paraId="091A8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CS5</w:t>
            </w:r>
          </w:p>
        </w:tc>
        <w:tc>
          <w:tcPr>
            <w:tcW w:w="1220" w:type="dxa"/>
            <w:noWrap w:val="0"/>
            <w:vAlign w:val="center"/>
          </w:tcPr>
          <w:p w14:paraId="02403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71E6C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29.113</w:t>
            </w:r>
          </w:p>
        </w:tc>
        <w:tc>
          <w:tcPr>
            <w:tcW w:w="1220" w:type="dxa"/>
            <w:noWrap w:val="0"/>
            <w:vAlign w:val="center"/>
          </w:tcPr>
          <w:p w14:paraId="5A8D1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6BDA9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1E088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1442.28</w:t>
            </w:r>
          </w:p>
        </w:tc>
        <w:tc>
          <w:tcPr>
            <w:tcW w:w="1149" w:type="dxa"/>
            <w:noWrap w:val="0"/>
            <w:vAlign w:val="center"/>
          </w:tcPr>
          <w:p w14:paraId="5919C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CB94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929" w:type="dxa"/>
            <w:noWrap w:val="0"/>
            <w:vAlign w:val="center"/>
          </w:tcPr>
          <w:p w14:paraId="2EE73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CS6</w:t>
            </w:r>
          </w:p>
        </w:tc>
        <w:tc>
          <w:tcPr>
            <w:tcW w:w="1220" w:type="dxa"/>
            <w:noWrap w:val="0"/>
            <w:vAlign w:val="center"/>
          </w:tcPr>
          <w:p w14:paraId="15B99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27.7</w:t>
            </w:r>
          </w:p>
        </w:tc>
        <w:tc>
          <w:tcPr>
            <w:tcW w:w="1220" w:type="dxa"/>
            <w:noWrap w:val="0"/>
            <w:vAlign w:val="center"/>
          </w:tcPr>
          <w:p w14:paraId="37BAD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48.756</w:t>
            </w:r>
          </w:p>
        </w:tc>
        <w:tc>
          <w:tcPr>
            <w:tcW w:w="1220" w:type="dxa"/>
            <w:noWrap w:val="0"/>
            <w:vAlign w:val="center"/>
          </w:tcPr>
          <w:p w14:paraId="0B54D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1C0F8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3B119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1237.98</w:t>
            </w:r>
          </w:p>
        </w:tc>
        <w:tc>
          <w:tcPr>
            <w:tcW w:w="1149" w:type="dxa"/>
            <w:noWrap w:val="0"/>
            <w:vAlign w:val="center"/>
          </w:tcPr>
          <w:p w14:paraId="03EC3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</w:tr>
      <w:tr w14:paraId="727D6E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75953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CS7</w:t>
            </w:r>
          </w:p>
        </w:tc>
        <w:tc>
          <w:tcPr>
            <w:tcW w:w="1220" w:type="dxa"/>
            <w:noWrap w:val="0"/>
            <w:vAlign w:val="center"/>
          </w:tcPr>
          <w:p w14:paraId="69010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27.7</w:t>
            </w:r>
          </w:p>
        </w:tc>
        <w:tc>
          <w:tcPr>
            <w:tcW w:w="1220" w:type="dxa"/>
            <w:noWrap w:val="0"/>
            <w:vAlign w:val="center"/>
          </w:tcPr>
          <w:p w14:paraId="48842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48.756</w:t>
            </w:r>
          </w:p>
        </w:tc>
        <w:tc>
          <w:tcPr>
            <w:tcW w:w="1220" w:type="dxa"/>
            <w:noWrap w:val="0"/>
            <w:vAlign w:val="center"/>
          </w:tcPr>
          <w:p w14:paraId="4115A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56D44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488DC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1215.25</w:t>
            </w:r>
          </w:p>
        </w:tc>
        <w:tc>
          <w:tcPr>
            <w:tcW w:w="1149" w:type="dxa"/>
            <w:noWrap w:val="0"/>
            <w:vAlign w:val="center"/>
          </w:tcPr>
          <w:p w14:paraId="58382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0785A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33D71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CS8</w:t>
            </w:r>
          </w:p>
        </w:tc>
        <w:tc>
          <w:tcPr>
            <w:tcW w:w="1220" w:type="dxa"/>
            <w:noWrap w:val="0"/>
            <w:vAlign w:val="center"/>
          </w:tcPr>
          <w:p w14:paraId="1DD45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548B7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29.113</w:t>
            </w:r>
          </w:p>
        </w:tc>
        <w:tc>
          <w:tcPr>
            <w:tcW w:w="1220" w:type="dxa"/>
            <w:noWrap w:val="0"/>
            <w:vAlign w:val="center"/>
          </w:tcPr>
          <w:p w14:paraId="45CED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653D5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684C1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1205.40</w:t>
            </w:r>
          </w:p>
        </w:tc>
        <w:tc>
          <w:tcPr>
            <w:tcW w:w="1149" w:type="dxa"/>
            <w:noWrap w:val="0"/>
            <w:vAlign w:val="center"/>
          </w:tcPr>
          <w:p w14:paraId="045CC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81F6B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34CEA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CS9</w:t>
            </w:r>
          </w:p>
        </w:tc>
        <w:tc>
          <w:tcPr>
            <w:tcW w:w="1220" w:type="dxa"/>
            <w:noWrap w:val="0"/>
            <w:vAlign w:val="center"/>
          </w:tcPr>
          <w:p w14:paraId="4CA37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04AB2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14.963</w:t>
            </w:r>
          </w:p>
        </w:tc>
        <w:tc>
          <w:tcPr>
            <w:tcW w:w="1220" w:type="dxa"/>
            <w:noWrap w:val="0"/>
            <w:vAlign w:val="center"/>
          </w:tcPr>
          <w:p w14:paraId="382F8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3AACE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4BF79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2061.52</w:t>
            </w:r>
          </w:p>
        </w:tc>
        <w:tc>
          <w:tcPr>
            <w:tcW w:w="1149" w:type="dxa"/>
            <w:noWrap w:val="0"/>
            <w:vAlign w:val="center"/>
          </w:tcPr>
          <w:p w14:paraId="7DCA9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8CAE5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334A4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CX4</w:t>
            </w:r>
          </w:p>
        </w:tc>
        <w:tc>
          <w:tcPr>
            <w:tcW w:w="1220" w:type="dxa"/>
            <w:noWrap w:val="0"/>
            <w:vAlign w:val="center"/>
          </w:tcPr>
          <w:p w14:paraId="6F80C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0150C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14.963</w:t>
            </w:r>
          </w:p>
        </w:tc>
        <w:tc>
          <w:tcPr>
            <w:tcW w:w="1220" w:type="dxa"/>
            <w:noWrap w:val="0"/>
            <w:vAlign w:val="center"/>
          </w:tcPr>
          <w:p w14:paraId="6DF65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01C7C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669D0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1795.92</w:t>
            </w:r>
          </w:p>
        </w:tc>
        <w:tc>
          <w:tcPr>
            <w:tcW w:w="1149" w:type="dxa"/>
            <w:noWrap w:val="0"/>
            <w:vAlign w:val="center"/>
          </w:tcPr>
          <w:p w14:paraId="4A8E0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5CB45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461CC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CX5</w:t>
            </w:r>
          </w:p>
        </w:tc>
        <w:tc>
          <w:tcPr>
            <w:tcW w:w="1220" w:type="dxa"/>
            <w:noWrap w:val="0"/>
            <w:vAlign w:val="center"/>
          </w:tcPr>
          <w:p w14:paraId="087E2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7D392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29.113</w:t>
            </w:r>
          </w:p>
        </w:tc>
        <w:tc>
          <w:tcPr>
            <w:tcW w:w="1220" w:type="dxa"/>
            <w:noWrap w:val="0"/>
            <w:vAlign w:val="center"/>
          </w:tcPr>
          <w:p w14:paraId="780ED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717EF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2608D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1435.46</w:t>
            </w:r>
          </w:p>
        </w:tc>
        <w:tc>
          <w:tcPr>
            <w:tcW w:w="1149" w:type="dxa"/>
            <w:noWrap w:val="0"/>
            <w:vAlign w:val="center"/>
          </w:tcPr>
          <w:p w14:paraId="7D36B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D38D7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1FBAC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CX6</w:t>
            </w:r>
          </w:p>
        </w:tc>
        <w:tc>
          <w:tcPr>
            <w:tcW w:w="1220" w:type="dxa"/>
            <w:noWrap w:val="0"/>
            <w:vAlign w:val="center"/>
          </w:tcPr>
          <w:p w14:paraId="1BB3E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27.7</w:t>
            </w:r>
          </w:p>
        </w:tc>
        <w:tc>
          <w:tcPr>
            <w:tcW w:w="1220" w:type="dxa"/>
            <w:noWrap w:val="0"/>
            <w:vAlign w:val="center"/>
          </w:tcPr>
          <w:p w14:paraId="54DAC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48.756</w:t>
            </w:r>
          </w:p>
        </w:tc>
        <w:tc>
          <w:tcPr>
            <w:tcW w:w="1220" w:type="dxa"/>
            <w:noWrap w:val="0"/>
            <w:vAlign w:val="center"/>
          </w:tcPr>
          <w:p w14:paraId="614D5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29E91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2A139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1249.43</w:t>
            </w:r>
          </w:p>
        </w:tc>
        <w:tc>
          <w:tcPr>
            <w:tcW w:w="1149" w:type="dxa"/>
            <w:noWrap w:val="0"/>
            <w:vAlign w:val="center"/>
          </w:tcPr>
          <w:p w14:paraId="7D3A9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2D65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28DE3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CX7</w:t>
            </w:r>
          </w:p>
        </w:tc>
        <w:tc>
          <w:tcPr>
            <w:tcW w:w="1220" w:type="dxa"/>
            <w:noWrap w:val="0"/>
            <w:vAlign w:val="center"/>
          </w:tcPr>
          <w:p w14:paraId="6AC51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27.7</w:t>
            </w:r>
          </w:p>
        </w:tc>
        <w:tc>
          <w:tcPr>
            <w:tcW w:w="1220" w:type="dxa"/>
            <w:noWrap w:val="0"/>
            <w:vAlign w:val="center"/>
          </w:tcPr>
          <w:p w14:paraId="06909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48.756</w:t>
            </w:r>
          </w:p>
        </w:tc>
        <w:tc>
          <w:tcPr>
            <w:tcW w:w="1220" w:type="dxa"/>
            <w:noWrap w:val="0"/>
            <w:vAlign w:val="center"/>
          </w:tcPr>
          <w:p w14:paraId="33EBC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117A3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13EEF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1161.54</w:t>
            </w:r>
          </w:p>
        </w:tc>
        <w:tc>
          <w:tcPr>
            <w:tcW w:w="1149" w:type="dxa"/>
            <w:noWrap w:val="0"/>
            <w:vAlign w:val="center"/>
          </w:tcPr>
          <w:p w14:paraId="47151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</w:tr>
      <w:tr w14:paraId="58B9A7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7D0CD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CX8</w:t>
            </w:r>
          </w:p>
        </w:tc>
        <w:tc>
          <w:tcPr>
            <w:tcW w:w="1220" w:type="dxa"/>
            <w:noWrap w:val="0"/>
            <w:vAlign w:val="center"/>
          </w:tcPr>
          <w:p w14:paraId="597D1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56EAC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29.113</w:t>
            </w:r>
          </w:p>
        </w:tc>
        <w:tc>
          <w:tcPr>
            <w:tcW w:w="1220" w:type="dxa"/>
            <w:noWrap w:val="0"/>
            <w:vAlign w:val="center"/>
          </w:tcPr>
          <w:p w14:paraId="75E2F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3B542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6F012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1449.13</w:t>
            </w:r>
          </w:p>
        </w:tc>
        <w:tc>
          <w:tcPr>
            <w:tcW w:w="1149" w:type="dxa"/>
            <w:noWrap w:val="0"/>
            <w:vAlign w:val="center"/>
          </w:tcPr>
          <w:p w14:paraId="16C90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</w:tr>
      <w:tr w14:paraId="08292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29" w:type="dxa"/>
            <w:noWrap w:val="0"/>
            <w:vAlign w:val="center"/>
          </w:tcPr>
          <w:p w14:paraId="68C3A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CX9</w:t>
            </w:r>
          </w:p>
        </w:tc>
        <w:tc>
          <w:tcPr>
            <w:tcW w:w="1220" w:type="dxa"/>
            <w:noWrap w:val="0"/>
            <w:vAlign w:val="center"/>
          </w:tcPr>
          <w:p w14:paraId="08B72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23.9</w:t>
            </w:r>
          </w:p>
        </w:tc>
        <w:tc>
          <w:tcPr>
            <w:tcW w:w="1220" w:type="dxa"/>
            <w:noWrap w:val="0"/>
            <w:vAlign w:val="center"/>
          </w:tcPr>
          <w:p w14:paraId="5955F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14.963</w:t>
            </w:r>
          </w:p>
        </w:tc>
        <w:tc>
          <w:tcPr>
            <w:tcW w:w="1220" w:type="dxa"/>
            <w:noWrap w:val="0"/>
            <w:vAlign w:val="center"/>
          </w:tcPr>
          <w:p w14:paraId="7387C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20" w:type="dxa"/>
            <w:noWrap w:val="0"/>
            <w:vAlign w:val="center"/>
          </w:tcPr>
          <w:p w14:paraId="3923E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73D6E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1928.46</w:t>
            </w:r>
          </w:p>
        </w:tc>
        <w:tc>
          <w:tcPr>
            <w:tcW w:w="1149" w:type="dxa"/>
            <w:noWrap w:val="0"/>
            <w:vAlign w:val="center"/>
          </w:tcPr>
          <w:p w14:paraId="7A57D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 w14:paraId="786E8DD3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14" w:name="_Toc1596"/>
      <w:bookmarkStart w:id="115" w:name="_Toc24993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主梁、主塔振动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监测</w:t>
      </w:r>
      <w:bookmarkEnd w:id="114"/>
      <w:bookmarkEnd w:id="115"/>
    </w:p>
    <w:p w14:paraId="5FFB12C7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（1）振动时程数据</w:t>
      </w:r>
    </w:p>
    <w:p w14:paraId="600F2B6D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选取典型监测数据进行分析，监测结果表明，主梁及主塔加速度各测点绝对最大值为xx.xxm/s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，各测点10min加速度均方根值最大为xx.xxmm/s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，未超过315mm/s</w:t>
      </w:r>
      <w:r>
        <w:rPr>
          <w:rFonts w:hint="eastAsia"/>
          <w:highlight w:val="none"/>
          <w:vertAlign w:val="superscript"/>
          <w:lang w:val="en-US" w:eastAsia="zh-CN"/>
        </w:rPr>
        <w:t>2</w:t>
      </w:r>
      <w:r>
        <w:rPr>
          <w:rFonts w:hint="eastAsia"/>
          <w:highlight w:val="none"/>
          <w:lang w:val="en-US" w:eastAsia="zh-CN"/>
        </w:rPr>
        <w:t>，均处于超限阈值范围之内，未出现超过各级超限阈值和报警的情况。</w:t>
      </w:r>
    </w:p>
    <w:p w14:paraId="76E2A6D5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color w:val="auto"/>
          <w:highlight w:val="none"/>
        </w:rPr>
      </w:pPr>
    </w:p>
    <w:p w14:paraId="45A6CF13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12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典型测点</w:t>
      </w:r>
      <w:r>
        <w:rPr>
          <w:rFonts w:hint="eastAsia"/>
          <w:color w:val="auto"/>
          <w:highlight w:val="none"/>
        </w:rPr>
        <w:t>振动加速度绝对最大值时程图和10min加速度均方根图</w:t>
      </w:r>
    </w:p>
    <w:p w14:paraId="59826557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（2）自振频率</w:t>
      </w:r>
    </w:p>
    <w:p w14:paraId="765A9593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选取典型监测数据进行分析，每日选取05：30~05:40时间段的加速度数据进行频谱分析，汉明窗，重叠率50%，得到桥梁自振频率，并绘制自振频率时程图，如下图所示。</w:t>
      </w:r>
    </w:p>
    <w:p w14:paraId="4E48EAE4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监测结果表明，</w:t>
      </w:r>
      <w:bookmarkStart w:id="116" w:name="OLE_LINK3"/>
      <w:r>
        <w:rPr>
          <w:rFonts w:hint="eastAsia"/>
          <w:highlight w:val="none"/>
          <w:lang w:val="en-US" w:eastAsia="zh-CN"/>
        </w:rPr>
        <w:t>主梁各测点竖向一阶自振频率在Hz~Hz之间，均大于理论计算的一阶自振频率0.73Hz，主塔纵向自振频率在Hz~Hz之间，均大于理论计算的一阶自振频率0.73Hz，主塔横向自振频率在Hz~Hz之间，均大于理论计算的一阶自振频率0.68Hz，且处于超限阈值范围之内，未出现超过各级超限阈值和报警的情况。</w:t>
      </w:r>
      <w:bookmarkEnd w:id="116"/>
    </w:p>
    <w:p w14:paraId="41E2E523">
      <w:pPr>
        <w:pStyle w:val="60"/>
        <w:rPr>
          <w:rFonts w:hint="eastAsia"/>
          <w:highlight w:val="none"/>
          <w:lang w:val="en-US" w:eastAsia="zh-CN"/>
        </w:rPr>
      </w:pPr>
    </w:p>
    <w:p w14:paraId="4751E1A8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13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典型测点</w:t>
      </w:r>
      <w:r>
        <w:rPr>
          <w:rFonts w:hint="eastAsia"/>
          <w:color w:val="auto"/>
          <w:highlight w:val="none"/>
        </w:rPr>
        <w:t>自振频率时程图</w:t>
      </w:r>
    </w:p>
    <w:p w14:paraId="2314E1E2">
      <w:pPr>
        <w:pStyle w:val="60"/>
        <w:rPr>
          <w:rFonts w:hint="eastAsia"/>
          <w:highlight w:val="none"/>
          <w:lang w:val="en-US" w:eastAsia="zh-CN"/>
        </w:rPr>
      </w:pPr>
    </w:p>
    <w:p w14:paraId="725E9C75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17" w:name="_Toc27408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风向风速监测</w:t>
      </w:r>
      <w:bookmarkEnd w:id="117"/>
    </w:p>
    <w:p w14:paraId="7AD14E28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监测结果如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_Ref29395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-9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  <w:lang w:val="en-US" w:eastAsia="zh-CN"/>
        </w:rPr>
        <w:t>所示</w:t>
      </w:r>
      <w:r>
        <w:rPr>
          <w:rFonts w:hint="eastAsia"/>
          <w:highlight w:val="none"/>
          <w:lang w:val="en-US" w:eastAsia="zh-CN"/>
        </w:rPr>
        <w:t>。监测结果表明，桥面10min平均风速最大值为10.02m/s，未超过25m/s，处于超限阈值范围之内，未出现超过各级超限阈值和报警的情况。</w:t>
      </w:r>
    </w:p>
    <w:p w14:paraId="271A9AF6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217ED2F3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7B5C6C0B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桥面</w:t>
      </w:r>
      <w:r>
        <w:rPr>
          <w:rFonts w:hint="eastAsia"/>
          <w:color w:val="auto"/>
          <w:highlight w:val="none"/>
        </w:rPr>
        <w:t>10min</w:t>
      </w:r>
      <w:r>
        <w:rPr>
          <w:rFonts w:hint="eastAsia"/>
          <w:color w:val="auto"/>
          <w:highlight w:val="none"/>
          <w:lang w:val="en-US" w:eastAsia="zh-CN"/>
        </w:rPr>
        <w:t>平均风速时程</w:t>
      </w:r>
      <w:r>
        <w:rPr>
          <w:rFonts w:hint="eastAsia"/>
          <w:color w:val="auto"/>
          <w:highlight w:val="none"/>
        </w:rPr>
        <w:t>图</w:t>
      </w:r>
    </w:p>
    <w:p w14:paraId="1712DC08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2A0E95A0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08559152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15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风玫瑰</w:t>
      </w:r>
      <w:r>
        <w:rPr>
          <w:rFonts w:hint="eastAsia"/>
          <w:color w:val="auto"/>
          <w:highlight w:val="none"/>
        </w:rPr>
        <w:t>图</w:t>
      </w:r>
    </w:p>
    <w:p w14:paraId="77FC90FC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431D4B8D">
      <w:pPr>
        <w:ind w:firstLine="480"/>
        <w:jc w:val="center"/>
        <w:rPr>
          <w:rFonts w:hint="eastAsia"/>
          <w:highlight w:val="none"/>
          <w:lang w:eastAsia="zh-CN"/>
        </w:rPr>
      </w:pPr>
      <w:bookmarkStart w:id="118" w:name="_Ref29395"/>
      <w:r>
        <w:rPr>
          <w:highlight w:val="none"/>
        </w:rPr>
        <w:t xml:space="preserve">表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STYLEREF 1 \s 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t>-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SEQ 表 \* ARABIC \s 1 </w:instrText>
      </w:r>
      <w:r>
        <w:rPr>
          <w:highlight w:val="none"/>
        </w:rPr>
        <w:fldChar w:fldCharType="separate"/>
      </w:r>
      <w:r>
        <w:rPr>
          <w:highlight w:val="none"/>
        </w:rPr>
        <w:t>8</w:t>
      </w:r>
      <w:r>
        <w:rPr>
          <w:highlight w:val="none"/>
        </w:rPr>
        <w:fldChar w:fldCharType="end"/>
      </w:r>
      <w:bookmarkEnd w:id="118"/>
      <w:r>
        <w:rPr>
          <w:highlight w:val="none"/>
        </w:rPr>
        <w:t xml:space="preserve"> </w:t>
      </w:r>
      <w:r>
        <w:rPr>
          <w:rFonts w:hint="eastAsia"/>
          <w:highlight w:val="none"/>
          <w:lang w:val="en-US" w:eastAsia="zh-CN"/>
        </w:rPr>
        <w:t>风速监测结果汇总表</w:t>
      </w:r>
      <w:r>
        <w:rPr>
          <w:rFonts w:hint="eastAsia"/>
          <w:highlight w:val="none"/>
          <w:lang w:eastAsia="zh-CN"/>
        </w:rPr>
        <w:t>（单位：</w:t>
      </w:r>
      <w:r>
        <w:rPr>
          <w:rFonts w:hint="eastAsia"/>
          <w:highlight w:val="none"/>
          <w:lang w:val="en-US" w:eastAsia="zh-CN"/>
        </w:rPr>
        <w:t>Hz</w:t>
      </w:r>
      <w:r>
        <w:rPr>
          <w:rFonts w:hint="eastAsia"/>
          <w:highlight w:val="none"/>
          <w:lang w:eastAsia="zh-CN"/>
        </w:rPr>
        <w:t>）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284"/>
        <w:gridCol w:w="1318"/>
        <w:gridCol w:w="1105"/>
        <w:gridCol w:w="1105"/>
        <w:gridCol w:w="1498"/>
      </w:tblGrid>
      <w:tr w14:paraId="4D4902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tblHeader/>
          <w:jc w:val="center"/>
        </w:trPr>
        <w:tc>
          <w:tcPr>
            <w:tcW w:w="713" w:type="dxa"/>
            <w:noWrap w:val="0"/>
            <w:vAlign w:val="center"/>
          </w:tcPr>
          <w:p w14:paraId="62A5F012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 w:firstLine="0" w:firstLineChars="0"/>
              <w:jc w:val="center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测点</w:t>
            </w:r>
          </w:p>
        </w:tc>
        <w:tc>
          <w:tcPr>
            <w:tcW w:w="1284" w:type="dxa"/>
            <w:noWrap w:val="0"/>
            <w:vAlign w:val="center"/>
          </w:tcPr>
          <w:p w14:paraId="5F0022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平均风向（°）</w:t>
            </w:r>
          </w:p>
        </w:tc>
        <w:tc>
          <w:tcPr>
            <w:tcW w:w="1318" w:type="dxa"/>
            <w:noWrap w:val="0"/>
            <w:vAlign w:val="center"/>
          </w:tcPr>
          <w:p w14:paraId="4BD537CF">
            <w:pPr>
              <w:pStyle w:val="75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主导风向（°）</w:t>
            </w:r>
          </w:p>
        </w:tc>
        <w:tc>
          <w:tcPr>
            <w:tcW w:w="1105" w:type="dxa"/>
            <w:noWrap w:val="0"/>
            <w:vAlign w:val="center"/>
          </w:tcPr>
          <w:p w14:paraId="0438D2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="楷体_GB2312" w:cs="Times New Roman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平均风速</w:t>
            </w: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（m/s）</w:t>
            </w:r>
          </w:p>
        </w:tc>
        <w:tc>
          <w:tcPr>
            <w:tcW w:w="1105" w:type="dxa"/>
            <w:noWrap w:val="0"/>
            <w:vAlign w:val="center"/>
          </w:tcPr>
          <w:p w14:paraId="60AA38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eastAsia="楷体_GB2312" w:cs="Times New Roman"/>
                <w:b/>
                <w:sz w:val="21"/>
                <w:szCs w:val="21"/>
                <w:highlight w:val="none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最大风速</w:t>
            </w: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（m/s）</w:t>
            </w:r>
          </w:p>
        </w:tc>
        <w:tc>
          <w:tcPr>
            <w:tcW w:w="1498" w:type="dxa"/>
            <w:noWrap w:val="0"/>
            <w:vAlign w:val="center"/>
          </w:tcPr>
          <w:p w14:paraId="5B5EC2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="楷体_GB2312" w:cs="Times New Roman"/>
                <w:b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主要风速等级</w:t>
            </w: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-US" w:eastAsia="zh-CN"/>
              </w:rPr>
              <w:t>（m/s）</w:t>
            </w:r>
          </w:p>
        </w:tc>
      </w:tr>
      <w:tr w14:paraId="5484AC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13" w:type="dxa"/>
            <w:noWrap w:val="0"/>
            <w:vAlign w:val="center"/>
          </w:tcPr>
          <w:p w14:paraId="37389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eastAsia="楷体_GB2312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W1</w:t>
            </w:r>
          </w:p>
        </w:tc>
        <w:tc>
          <w:tcPr>
            <w:tcW w:w="1284" w:type="dxa"/>
            <w:noWrap w:val="0"/>
            <w:vAlign w:val="center"/>
          </w:tcPr>
          <w:p w14:paraId="19AB3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eastAsia="楷体_GB2312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318" w:type="dxa"/>
            <w:noWrap w:val="0"/>
            <w:vAlign w:val="center"/>
          </w:tcPr>
          <w:p w14:paraId="16C2E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highlight w:val="none"/>
              </w:rPr>
            </w:pPr>
          </w:p>
        </w:tc>
        <w:tc>
          <w:tcPr>
            <w:tcW w:w="1105" w:type="dxa"/>
            <w:noWrap w:val="0"/>
            <w:vAlign w:val="center"/>
          </w:tcPr>
          <w:p w14:paraId="114B1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05" w:type="dxa"/>
            <w:noWrap w:val="0"/>
            <w:vAlign w:val="center"/>
          </w:tcPr>
          <w:p w14:paraId="445EB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498" w:type="dxa"/>
            <w:noWrap w:val="0"/>
            <w:vAlign w:val="center"/>
          </w:tcPr>
          <w:p w14:paraId="55782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EE260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13" w:type="dxa"/>
            <w:noWrap w:val="0"/>
            <w:vAlign w:val="center"/>
          </w:tcPr>
          <w:p w14:paraId="34067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sz w:val="21"/>
                <w:szCs w:val="21"/>
                <w:highlight w:val="none"/>
                <w:lang w:val="en-US" w:eastAsia="zh-CN"/>
              </w:rPr>
              <w:t>W2</w:t>
            </w:r>
          </w:p>
        </w:tc>
        <w:tc>
          <w:tcPr>
            <w:tcW w:w="1284" w:type="dxa"/>
            <w:noWrap w:val="0"/>
            <w:vAlign w:val="center"/>
          </w:tcPr>
          <w:p w14:paraId="0956C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318" w:type="dxa"/>
            <w:noWrap w:val="0"/>
            <w:vAlign w:val="center"/>
          </w:tcPr>
          <w:p w14:paraId="34546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05" w:type="dxa"/>
            <w:noWrap w:val="0"/>
            <w:vAlign w:val="center"/>
          </w:tcPr>
          <w:p w14:paraId="2860E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05" w:type="dxa"/>
            <w:noWrap w:val="0"/>
            <w:vAlign w:val="center"/>
          </w:tcPr>
          <w:p w14:paraId="72CFE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498" w:type="dxa"/>
            <w:noWrap w:val="0"/>
            <w:vAlign w:val="center"/>
          </w:tcPr>
          <w:p w14:paraId="37E6D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536E4140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ind w:left="0" w:leftChars="0" w:firstLine="1080" w:firstLineChars="45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注：主要风速等级指</w:t>
      </w:r>
    </w:p>
    <w:p w14:paraId="6FCCC43B">
      <w:pPr>
        <w:pStyle w:val="4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ind w:left="578" w:leftChars="0" w:right="0" w:rightChars="0" w:hanging="578" w:firstLineChars="0"/>
        <w:jc w:val="left"/>
        <w:textAlignment w:val="auto"/>
        <w:outlineLvl w:val="1"/>
        <w:rPr>
          <w:rFonts w:hint="default"/>
          <w:highlight w:val="none"/>
        </w:rPr>
      </w:pPr>
      <w:bookmarkStart w:id="119" w:name="_Toc30127"/>
      <w:r>
        <w:rPr>
          <w:rFonts w:hint="eastAsia" w:ascii="宋体" w:hAnsi="宋体"/>
          <w:sz w:val="24"/>
          <w:szCs w:val="28"/>
          <w:highlight w:val="none"/>
          <w:lang w:val="en-US" w:eastAsia="zh-CN"/>
        </w:rPr>
        <w:t>地震动监测</w:t>
      </w:r>
      <w:bookmarkEnd w:id="119"/>
    </w:p>
    <w:p w14:paraId="15FDDDEA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根据《中国地震动参数区划图》(GB18306-2015)及福建省有关规定，本地区抗震基本烈度为7度，设计基本地震加速度为0.10g。标准场地特征周期为0.65s，设计地震分组为第三组，场地属中软场地土，建筑场地类别为Ⅲ类。</w:t>
      </w:r>
    </w:p>
    <w:p w14:paraId="55080C5F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根据设计文件，洪塘大桥主桥按城市桥梁抗震设防分类中的甲类考虑，抗震措施按8度设计。甲类桥梁所在地区遭受的E1和E2地震影响，应按地震安全性评价确定，相应的E1和E2地震重现期分别为475年和2500年。</w:t>
      </w:r>
    </w:p>
    <w:p w14:paraId="7748DD59">
      <w:pPr>
        <w:pStyle w:val="6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监测结果如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REF _Ref6599 \h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b/>
        </w:rPr>
        <w:t>错误！未定义书签。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  <w:lang w:val="en-US" w:eastAsia="zh-CN"/>
        </w:rPr>
        <w:t>所示</w:t>
      </w:r>
      <w:r>
        <w:rPr>
          <w:rFonts w:hint="eastAsia"/>
          <w:highlight w:val="none"/>
          <w:lang w:val="en-US" w:eastAsia="zh-CN"/>
        </w:rPr>
        <w:t>。监测结果表明，水平地震动作用加速度峰值为m/s，未达到设计E1地震作用加速度峰值，竖向地震动作用加速度峰值为为m/s，未达到设计E1地震作用加速度峰值，未出现超过各级超限阈值和报警的情况。</w:t>
      </w:r>
    </w:p>
    <w:p w14:paraId="131E9246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15E14EC8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43529E97"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612F35DF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12" w:lineRule="auto"/>
        <w:jc w:val="center"/>
        <w:textAlignment w:val="baseline"/>
        <w:rPr>
          <w:rFonts w:hint="eastAsia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图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STYLEREF 1 \s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4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 w:ascii="Times New Roman" w:hAnsi="Times New Roman"/>
          <w:highlight w:val="none"/>
          <w:lang w:val="en-US" w:eastAsia="zh-CN"/>
        </w:rPr>
        <w:t>-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begin"/>
      </w:r>
      <w:r>
        <w:rPr>
          <w:rFonts w:hint="eastAsia" w:ascii="Times New Roman" w:hAnsi="Times New Roman"/>
          <w:highlight w:val="none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/>
          <w:highlight w:val="none"/>
          <w:lang w:val="en-US" w:eastAsia="zh-CN"/>
        </w:rPr>
        <w:fldChar w:fldCharType="separate"/>
      </w:r>
      <w:r>
        <w:rPr>
          <w:rFonts w:hint="eastAsia" w:ascii="Times New Roman" w:hAnsi="Times New Roman"/>
          <w:highlight w:val="none"/>
          <w:lang w:val="en-US" w:eastAsia="zh-CN"/>
        </w:rPr>
        <w:t>16</w:t>
      </w:r>
      <w:r>
        <w:rPr>
          <w:rFonts w:hint="eastAsia" w:ascii="Times New Roman" w:hAnsi="Times New Roman"/>
          <w:highlight w:val="none"/>
          <w:lang w:val="en-US" w:eastAsia="zh-CN"/>
        </w:rPr>
        <w:fldChar w:fldCharType="end"/>
      </w:r>
      <w:r>
        <w:rPr>
          <w:rFonts w:hint="eastAsia"/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  <w:lang w:val="en-US" w:eastAsia="zh-CN"/>
        </w:rPr>
        <w:t>地震动时程</w:t>
      </w:r>
      <w:r>
        <w:rPr>
          <w:rFonts w:hint="eastAsia"/>
          <w:color w:val="auto"/>
          <w:highlight w:val="none"/>
        </w:rPr>
        <w:t>图</w:t>
      </w:r>
    </w:p>
    <w:p w14:paraId="6474A98F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36FE2536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0AF6C815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4B6008DD">
      <w:pPr>
        <w:pStyle w:val="2"/>
        <w:overflowPunct w:val="0"/>
        <w:autoSpaceDE w:val="0"/>
        <w:autoSpaceDN w:val="0"/>
        <w:adjustRightInd w:val="0"/>
        <w:spacing w:line="312" w:lineRule="auto"/>
        <w:ind w:left="0" w:leftChars="0" w:firstLine="480" w:firstLineChars="200"/>
        <w:textAlignment w:val="baseline"/>
        <w:rPr>
          <w:rFonts w:hint="eastAsia"/>
          <w:highlight w:val="none"/>
          <w:lang w:val="en-US" w:eastAsia="zh-CN"/>
        </w:rPr>
      </w:pPr>
    </w:p>
    <w:p w14:paraId="1CB1008D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360" w:lineRule="auto"/>
        <w:ind w:leftChars="0"/>
        <w:textAlignment w:val="auto"/>
        <w:rPr>
          <w:rFonts w:hint="default" w:ascii="Times New Roman" w:hAnsi="Times New Roman" w:eastAsia="楷体_GB2312" w:cs="Times New Roman"/>
          <w:b/>
          <w:bCs w:val="0"/>
          <w:kern w:val="44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b/>
          <w:bCs w:val="0"/>
          <w:kern w:val="44"/>
          <w:sz w:val="24"/>
          <w:szCs w:val="24"/>
          <w:highlight w:val="none"/>
        </w:rPr>
        <w:br w:type="page"/>
      </w:r>
      <w:bookmarkStart w:id="120" w:name="_Toc30954"/>
      <w:bookmarkStart w:id="121" w:name="_Toc27775"/>
      <w:r>
        <w:rPr>
          <w:rFonts w:hint="default" w:ascii="Times New Roman" w:hAnsi="Times New Roman" w:eastAsia="楷体_GB2312" w:cs="Times New Roman"/>
          <w:b/>
          <w:bCs w:val="0"/>
          <w:kern w:val="44"/>
          <w:sz w:val="24"/>
          <w:szCs w:val="24"/>
          <w:highlight w:val="none"/>
        </w:rPr>
        <w:t>附录</w:t>
      </w:r>
      <w:r>
        <w:rPr>
          <w:rFonts w:hint="default" w:ascii="Times New Roman" w:hAnsi="Times New Roman" w:eastAsia="楷体_GB2312" w:cs="Times New Roman"/>
          <w:b/>
          <w:bCs w:val="0"/>
          <w:kern w:val="44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/>
          <w:bCs w:val="0"/>
          <w:kern w:val="44"/>
          <w:sz w:val="24"/>
          <w:szCs w:val="24"/>
          <w:highlight w:val="none"/>
        </w:rPr>
        <w:t xml:space="preserve"> 有限元分析及预警值设置</w:t>
      </w:r>
      <w:bookmarkEnd w:id="120"/>
      <w:bookmarkEnd w:id="121"/>
    </w:p>
    <w:p w14:paraId="31A5568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jc w:val="both"/>
        <w:textAlignment w:val="auto"/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本章通过有限元分析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确立洪塘大桥力学模型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，并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根据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计算结果对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结构响应及结构变化的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预警值进行设定。</w:t>
      </w:r>
    </w:p>
    <w:p w14:paraId="626BE10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jc w:val="both"/>
        <w:textAlignment w:val="auto"/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洪塘大桥健康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监测系统采用黄色、红色两级的分级预警体系。预警值参考《公路桥梁结构监测技术规范》（JT/T 1037- 2022）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以及桥梁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有限元模型分析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结果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。</w:t>
      </w:r>
    </w:p>
    <w:p w14:paraId="1E9FFE80"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40" w:lineRule="exact"/>
        <w:ind w:leftChars="0"/>
        <w:textAlignment w:val="auto"/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</w:pPr>
      <w:bookmarkStart w:id="122" w:name="_Toc29421"/>
      <w:bookmarkEnd w:id="122"/>
      <w:bookmarkStart w:id="123" w:name="_Toc27071"/>
      <w:bookmarkStart w:id="124" w:name="_Toc25019"/>
      <w:r>
        <w:rPr>
          <w:rFonts w:hint="eastAsia" w:ascii="Times New Roman" w:hAnsi="Times New Roman" w:cs="Times New Roman"/>
          <w:b/>
          <w:bCs w:val="0"/>
          <w:kern w:val="2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  <w:t>.1有限元分析结果</w:t>
      </w:r>
      <w:bookmarkEnd w:id="123"/>
      <w:bookmarkEnd w:id="124"/>
    </w:p>
    <w:p w14:paraId="604DEECF">
      <w:pPr>
        <w:pStyle w:val="5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482" w:leftChars="0"/>
        <w:textAlignment w:val="auto"/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</w:pPr>
      <w:bookmarkStart w:id="125" w:name="_Toc1430"/>
      <w:bookmarkStart w:id="126" w:name="_Toc23535"/>
      <w:r>
        <w:rPr>
          <w:rFonts w:hint="eastAsia" w:ascii="Times New Roman" w:hAnsi="Times New Roman" w:cs="Times New Roman"/>
          <w:b/>
          <w:bCs w:val="0"/>
          <w:kern w:val="2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  <w:t>.1.1 弯矩</w:t>
      </w:r>
      <w:bookmarkEnd w:id="125"/>
      <w:bookmarkEnd w:id="126"/>
    </w:p>
    <w:p w14:paraId="2BD9CE4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jc w:val="both"/>
        <w:textAlignment w:val="auto"/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根据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洪塘大桥图纸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参数建立的</w:t>
      </w:r>
      <w:r>
        <w:rPr>
          <w:rFonts w:hint="eastAsia"/>
          <w:highlight w:val="none"/>
          <w:lang w:val="en-US" w:eastAsia="zh-CN"/>
        </w:rPr>
        <w:t>洪塘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 xml:space="preserve">桥有限元模型见图 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A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-1，主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塔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混凝土为C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5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0，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加劲梁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采用</w:t>
      </w:r>
      <w:r>
        <w:rPr>
          <w:rFonts w:hint="eastAsia"/>
          <w:highlight w:val="none"/>
        </w:rPr>
        <w:t>Q345q(D)级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钢材，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主缆及吊索钢丝的抗拉强度为1770MPa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。将设计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活载工况（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城-A级荷载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、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人群荷载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、系统温度荷载、索梁温差荷载及主塔温度梯度荷载）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加载到该模型上，可得设计荷载作用下主梁的最大正弯矩值为3684kN·m，最大负弯矩值为</w:t>
      </w:r>
      <w:r>
        <w:rPr>
          <w:rFonts w:hint="eastAsia" w:cs="Times New Roman"/>
          <w:kern w:val="28"/>
          <w:sz w:val="24"/>
          <w:szCs w:val="24"/>
          <w:highlight w:val="none"/>
          <w:lang w:val="en-US" w:eastAsia="zh-CN" w:bidi="ar"/>
        </w:rPr>
        <w:t>-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4901kN·m。主塔的最大正弯矩值为898kN·m，最大负弯矩值为</w:t>
      </w:r>
      <w:r>
        <w:rPr>
          <w:rFonts w:hint="eastAsia" w:cs="Times New Roman"/>
          <w:kern w:val="28"/>
          <w:sz w:val="24"/>
          <w:szCs w:val="24"/>
          <w:highlight w:val="none"/>
          <w:lang w:val="en-US" w:eastAsia="zh-CN" w:bidi="ar"/>
        </w:rPr>
        <w:t>-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899kN·m如图</w:t>
      </w:r>
      <w:r>
        <w:rPr>
          <w:rFonts w:hint="eastAsia" w:ascii="Times New Roman" w:hAnsi="Times New Roman" w:cs="Times New Roman"/>
          <w:kern w:val="28"/>
          <w:sz w:val="24"/>
          <w:szCs w:val="24"/>
          <w:highlight w:val="none"/>
          <w:lang w:val="en-US" w:eastAsia="zh-CN" w:bidi="ar"/>
        </w:rPr>
        <w:t>A-2</w:t>
      </w:r>
      <w:r>
        <w:rPr>
          <w:rFonts w:hint="default" w:ascii="Times New Roman" w:hAnsi="Times New Roman" w:eastAsia="楷体_GB2312" w:cs="Times New Roman"/>
          <w:kern w:val="28"/>
          <w:sz w:val="24"/>
          <w:szCs w:val="24"/>
          <w:highlight w:val="none"/>
          <w:lang w:val="en-US" w:eastAsia="zh-CN" w:bidi="ar"/>
        </w:rPr>
        <w:t>所示。</w:t>
      </w:r>
    </w:p>
    <w:p w14:paraId="5EFB6FA0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4924425" cy="2227580"/>
            <wp:effectExtent l="0" t="0" r="13335" b="1270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A4E2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 xml:space="preserve">图 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val="en-US" w:eastAsia="zh-CN" w:bidi="ar"/>
        </w:rPr>
        <w:t>A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 xml:space="preserve">-1 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val="en-US" w:eastAsia="zh-CN" w:bidi="ar"/>
        </w:rPr>
        <w:t>洪塘大桥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有限元模型</w:t>
      </w:r>
    </w:p>
    <w:p w14:paraId="5A30360E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023485" cy="2320925"/>
            <wp:effectExtent l="0" t="0" r="5715" b="1079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70C0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（a）主梁弯矩包络图</w:t>
      </w:r>
    </w:p>
    <w:p w14:paraId="56B757C6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113655" cy="2333625"/>
            <wp:effectExtent l="0" t="0" r="6985" b="13335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AA24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（b）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val="en-US" w:eastAsia="zh-CN" w:bidi="ar"/>
        </w:rPr>
        <w:t>主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塔弯矩包络图</w:t>
      </w:r>
    </w:p>
    <w:p w14:paraId="079F9CFD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图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val="en-US" w:eastAsia="zh-CN" w:bidi="ar"/>
        </w:rPr>
        <w:t>A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-2 设计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none"/>
          <w:lang w:val="en-US" w:eastAsia="zh-CN" w:bidi="ar"/>
        </w:rPr>
        <w:t>活</w:t>
      </w:r>
      <w:r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  <w:lang w:val="en-US" w:eastAsia="zh-CN" w:bidi="ar"/>
        </w:rPr>
        <w:t>载作用下的主梁弯矩包络图</w:t>
      </w:r>
    </w:p>
    <w:p w14:paraId="3DE105AE">
      <w:pPr>
        <w:pStyle w:val="5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482" w:leftChars="0"/>
        <w:textAlignment w:val="auto"/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</w:pPr>
      <w:bookmarkStart w:id="127" w:name="_Toc19516"/>
      <w:bookmarkStart w:id="128" w:name="_Toc27337"/>
      <w:r>
        <w:rPr>
          <w:rFonts w:hint="eastAsia" w:ascii="Times New Roman" w:hAnsi="Times New Roman" w:cs="Times New Roman"/>
          <w:b/>
          <w:bCs w:val="0"/>
          <w:kern w:val="2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楷体_GB2312" w:cs="Times New Roman"/>
          <w:b/>
          <w:bCs w:val="0"/>
          <w:kern w:val="2"/>
          <w:sz w:val="24"/>
          <w:szCs w:val="24"/>
          <w:highlight w:val="none"/>
        </w:rPr>
        <w:t>.1.2 振动模态</w:t>
      </w:r>
      <w:bookmarkEnd w:id="127"/>
      <w:bookmarkEnd w:id="128"/>
    </w:p>
    <w:p w14:paraId="3CA5B75A">
      <w:pPr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480" w:firstLineChars="200"/>
        <w:jc w:val="both"/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</w:rPr>
      </w:pP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振动模态的有限元分析结果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表明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，结构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主梁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1阶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竖向、桥塔1阶纵向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基频为0.7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3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Hz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，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桥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塔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1阶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横向基频为0.68Hz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。</w:t>
      </w:r>
    </w:p>
    <w:p w14:paraId="2925C5D0">
      <w:pPr>
        <w:pStyle w:val="28"/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default" w:ascii="Times New Roman" w:hAnsi="Times New Roman" w:eastAsia="楷体_GB2312" w:cs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5856605" cy="2700655"/>
            <wp:effectExtent l="0" t="0" r="10795" b="12065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5A36">
      <w:pPr>
        <w:keepNext w:val="0"/>
        <w:keepLines w:val="0"/>
        <w:widowControl w:val="0"/>
        <w:suppressLineNumbers w:val="0"/>
        <w:spacing w:before="0" w:beforeAutospacing="0" w:after="0" w:afterAutospacing="0" w:line="312" w:lineRule="auto"/>
        <w:ind w:left="0" w:right="0" w:firstLine="0" w:firstLineChars="0"/>
        <w:jc w:val="center"/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图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A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 xml:space="preserve">-3 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主梁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1阶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竖向、桥塔1阶纵向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振型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（0.73Hz）</w:t>
      </w:r>
    </w:p>
    <w:p w14:paraId="1E38E20E">
      <w:pPr>
        <w:pStyle w:val="2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015105" cy="2807335"/>
            <wp:effectExtent l="0" t="0" r="8255" b="12065"/>
            <wp:docPr id="3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1175">
      <w:pPr>
        <w:pStyle w:val="2"/>
        <w:jc w:val="center"/>
        <w:rPr>
          <w:rFonts w:hint="default"/>
          <w:highlight w:val="none"/>
          <w:lang w:val="en-US"/>
        </w:rPr>
      </w:pP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>图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A</w:t>
      </w:r>
      <w:r>
        <w:rPr>
          <w:rFonts w:hint="default" w:ascii="Times New Roman" w:hAnsi="Times New Roman" w:eastAsia="楷体_GB2312" w:cs="Times New Roman"/>
          <w:kern w:val="2"/>
          <w:sz w:val="24"/>
          <w:szCs w:val="24"/>
          <w:highlight w:val="none"/>
          <w:lang w:val="en-US" w:eastAsia="zh-CN" w:bidi="ar"/>
        </w:rPr>
        <w:t xml:space="preserve">-3 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桥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塔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1阶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横向</w:t>
      </w:r>
      <w:r>
        <w:rPr>
          <w:rFonts w:hint="eastAsia" w:ascii="Times New Roman" w:hAnsi="Times New Roman" w:cs="Times New Roman"/>
          <w:kern w:val="2"/>
          <w:sz w:val="24"/>
          <w:szCs w:val="24"/>
          <w:highlight w:val="none"/>
          <w:lang w:val="en-US" w:eastAsia="zh-CN" w:bidi="ar"/>
        </w:rPr>
        <w:t>振型</w:t>
      </w:r>
      <w:r>
        <w:rPr>
          <w:rFonts w:hint="eastAsia" w:cs="Times New Roman"/>
          <w:kern w:val="2"/>
          <w:sz w:val="24"/>
          <w:szCs w:val="24"/>
          <w:highlight w:val="none"/>
          <w:lang w:val="en-US" w:eastAsia="zh-CN" w:bidi="ar"/>
        </w:rPr>
        <w:t>（0.68Hz）</w:t>
      </w:r>
    </w:p>
    <w:p w14:paraId="76F3D1F9">
      <w:pPr>
        <w:pStyle w:val="2"/>
        <w:rPr>
          <w:rFonts w:hint="eastAsia"/>
          <w:highlight w:val="none"/>
          <w:lang w:eastAsia="zh-CN"/>
        </w:rPr>
      </w:pPr>
      <w:bookmarkStart w:id="129" w:name="_Toc9858"/>
      <w:bookmarkEnd w:id="129"/>
    </w:p>
    <w:sectPr>
      <w:pgSz w:w="11906" w:h="16838"/>
      <w:pgMar w:top="567" w:right="964" w:bottom="964" w:left="1701" w:header="567" w:footer="454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AndChar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迪南" w:date="2026-03-13T19:07:00Z" w:initials="">
    <w:p w14:paraId="17270712">
      <w:pPr>
        <w:pStyle w:val="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改，左右反了</w:t>
      </w:r>
    </w:p>
    <w:p w14:paraId="700F6F18">
      <w:pPr>
        <w:pStyle w:val="15"/>
        <w:ind w:left="0" w:leftChars="0" w:firstLine="0" w:firstLineChars="0"/>
        <w:rPr>
          <w:rFonts w:hint="default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00F6F1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wis721 Cn BT">
    <w:altName w:val="yyb"/>
    <w:panose1 w:val="020B0506020202030204"/>
    <w:charset w:val="00"/>
    <w:family w:val="swiss"/>
    <w:pitch w:val="default"/>
    <w:sig w:usb0="00000000" w:usb1="00000000" w:usb2="00000000" w:usb3="00000000" w:csb0="00040001" w:csb1="00000000"/>
  </w:font>
  <w:font w:name="yyb">
    <w:panose1 w:val="020B0200000000000000"/>
    <w:charset w:val="86"/>
    <w:family w:val="auto"/>
    <w:pitch w:val="default"/>
    <w:sig w:usb0="20000083" w:usb1="10000000" w:usb2="00000016" w:usb3="00000000" w:csb0="60060107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966A1">
    <w:pPr>
      <w:pStyle w:val="23"/>
      <w:jc w:val="both"/>
      <w:rPr>
        <w:rFonts w:ascii="宋体" w:hAnsi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pPr w:leftFromText="180" w:rightFromText="180" w:vertAnchor="text" w:tblpXSpec="center" w:tblpY="1"/>
      <w:tblOverlap w:val="never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55"/>
      <w:gridCol w:w="4278"/>
      <w:gridCol w:w="2220"/>
    </w:tblGrid>
    <w:tr w14:paraId="4CB462D8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755" w:type="dxa"/>
          <w:noWrap w:val="0"/>
          <w:vAlign w:val="center"/>
        </w:tcPr>
        <w:p w14:paraId="684B51C5">
          <w:pPr>
            <w:keepNext w:val="0"/>
            <w:keepLines w:val="0"/>
            <w:suppressLineNumbers w:val="0"/>
            <w:tabs>
              <w:tab w:val="left" w:pos="135"/>
              <w:tab w:val="center" w:pos="4945"/>
            </w:tabs>
            <w:spacing w:before="0" w:beforeAutospacing="0" w:after="0" w:afterAutospacing="0"/>
            <w:ind w:left="0" w:right="0"/>
            <w:rPr>
              <w:rFonts w:hint="default" w:ascii="Times New Roman" w:hAnsi="Times New Roman" w:cs="Times New Roman"/>
              <w:sz w:val="18"/>
              <w:szCs w:val="18"/>
              <w:lang w:val="en-US"/>
            </w:rPr>
          </w:pPr>
          <w:r>
            <w:rPr>
              <w:rFonts w:hint="default" w:ascii="Times New Roman" w:hAnsi="Times New Roman" w:cs="Times New Roman"/>
              <w:sz w:val="18"/>
              <w:szCs w:val="18"/>
            </w:rPr>
            <w:t>报告编号：</w:t>
          </w:r>
          <w: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  <w:t>BG02FQJC2200003-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41</w:t>
          </w:r>
        </w:p>
      </w:tc>
      <w:tc>
        <w:tcPr>
          <w:tcW w:w="4278" w:type="dxa"/>
          <w:noWrap w:val="0"/>
          <w:vAlign w:val="center"/>
        </w:tcPr>
        <w:p w14:paraId="5F3F808C">
          <w:pPr>
            <w:keepNext w:val="0"/>
            <w:keepLines w:val="0"/>
            <w:suppressLineNumbers w:val="0"/>
            <w:tabs>
              <w:tab w:val="left" w:pos="135"/>
              <w:tab w:val="center" w:pos="4945"/>
            </w:tabs>
            <w:spacing w:before="0" w:beforeAutospacing="0" w:after="0" w:afterAutospacing="0"/>
            <w:ind w:left="0" w:right="0"/>
            <w:jc w:val="center"/>
            <w:rPr>
              <w:rFonts w:hint="default" w:ascii="Times New Roman" w:hAnsi="Times New Roman" w:eastAsia="楷体_GB2312" w:cs="Times New Roman"/>
              <w:sz w:val="18"/>
              <w:szCs w:val="18"/>
              <w:lang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福建省建筑工程质量检测中心有限公司</w:t>
          </w:r>
        </w:p>
      </w:tc>
      <w:tc>
        <w:tcPr>
          <w:tcW w:w="2220" w:type="dxa"/>
          <w:noWrap w:val="0"/>
          <w:vAlign w:val="center"/>
        </w:tcPr>
        <w:p w14:paraId="66AD058F">
          <w:pPr>
            <w:keepNext w:val="0"/>
            <w:keepLines w:val="0"/>
            <w:suppressLineNumbers w:val="0"/>
            <w:tabs>
              <w:tab w:val="left" w:pos="135"/>
              <w:tab w:val="center" w:pos="4945"/>
            </w:tabs>
            <w:spacing w:before="0" w:beforeAutospacing="0" w:after="0" w:afterAutospacing="0"/>
            <w:ind w:left="0" w:right="0"/>
            <w:jc w:val="right"/>
            <w:rPr>
              <w:rFonts w:hint="default" w:ascii="Times New Roman" w:hAnsi="Times New Roman" w:cs="Times New Roman"/>
              <w:sz w:val="18"/>
              <w:szCs w:val="18"/>
            </w:rPr>
          </w:pPr>
          <w:r>
            <w:rPr>
              <w:rFonts w:hint="default"/>
              <w:sz w:val="1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9" name="文本框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6A1A804">
                                <w:pPr>
                                  <w:tabs>
                                    <w:tab w:val="left" w:pos="135"/>
                                    <w:tab w:val="center" w:pos="4945"/>
                                  </w:tabs>
                                  <w:jc w:val="right"/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t xml:space="preserve">第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t>33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t xml:space="preserve"> 页 共 </w:t>
                                </w:r>
                                <w:r>
                                  <w:rPr>
                                    <w:rFonts w:hint="eastAsia" w:cs="Times New Roman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  <w:t>27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kern w:val="0"/>
                                    <w:sz w:val="18"/>
                                    <w:szCs w:val="18"/>
                                  </w:rPr>
                                  <w:t xml:space="preserve"> 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12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p7WVA6AgAAcQQAAA4AAABkcnMvZTJvRG9jLnhtbK1UzY7TMBC+I/EO&#10;lu80aVesSt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NJWO7QAAAABQEAAA8AAAAAAAAAAQAgAAAAIgAAAGRycy9kb3ducmV2Lnht&#10;bFBLAQIUABQAAAAIAIdO4kAae1lQOgIAAHEEAAAOAAAAAAAAAAEAIAAAAB8BAABkcnMvZTJvRG9j&#10;LnhtbFBLBQYAAAAABgAGAFkBAADL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6A1A804">
                          <w:pPr>
                            <w:tabs>
                              <w:tab w:val="left" w:pos="135"/>
                              <w:tab w:val="center" w:pos="4945"/>
                            </w:tabs>
                            <w:jc w:val="right"/>
                          </w:pP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t>33</w:t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cs="Times New Roman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  <w:t>27</w:t>
                          </w:r>
                          <w:r>
                            <w:rPr>
                              <w:rFonts w:hint="default" w:ascii="Times New Roman" w:hAnsi="Times New Roman" w:cs="Times New Roman"/>
                              <w:kern w:val="0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6D566D9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22D02"/>
    <w:multiLevelType w:val="multilevel"/>
    <w:tmpl w:val="AE522D02"/>
    <w:lvl w:ilvl="0" w:tentative="0">
      <w:start w:val="1"/>
      <w:numFmt w:val="decimal"/>
      <w:lvlText w:val="第%1章"/>
      <w:lvlJc w:val="center"/>
      <w:pPr>
        <w:tabs>
          <w:tab w:val="left" w:pos="1134"/>
        </w:tabs>
        <w:ind w:left="0" w:firstLine="303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Times New Roman" w:hAnsi="Times New Roman" w:eastAsia="楷体_GB2312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4FC0EA"/>
    <w:multiLevelType w:val="multilevel"/>
    <w:tmpl w:val="5C4FC0EA"/>
    <w:lvl w:ilvl="0" w:tentative="0">
      <w:start w:val="1"/>
      <w:numFmt w:val="decimal"/>
      <w:pStyle w:val="56"/>
      <w:lvlText w:val="第%1章"/>
      <w:lvlJc w:val="left"/>
      <w:pPr>
        <w:tabs>
          <w:tab w:val="left" w:pos="3462"/>
        </w:tabs>
        <w:ind w:left="346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楷体_GB2312" w:eastAsia="楷体_GB2312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617BC8ED"/>
    <w:multiLevelType w:val="multilevel"/>
    <w:tmpl w:val="617BC8ED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迪南">
    <w15:presenceInfo w15:providerId="None" w15:userId="林迪南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arCode" w:val="ÌBG02CBQL1400121nÎ"/>
    <w:docVar w:name="BGH" w:val="BG02CBQL1400121"/>
    <w:docVar w:name="BZ" w:val="/"/>
    <w:docVar w:name="CNAS_JCZH" w:val="CNAS IB0139"/>
    <w:docVar w:name="commondata" w:val="eyJoZGlkIjoiZGE1YjQwNWQxYjgyMTE1NDhhM2MzN2ZiZWY5NDRiODcifQ=="/>
    <w:docVar w:name="dispChartTitle1" w:val="工况一挠度实测值与理论计算值的关系曲线"/>
    <w:docVar w:name="dispChartTitle2" w:val="工况二挠度实测值与理论计算值的关系曲线"/>
    <w:docVar w:name="dispResult1" w:val="(1)在工况一荷载作用下，主梁最大实测弹性挠度值为0.80mm，实测控制截面的挠度值均小于理论值，校验系数在0.39～0.54之间；相对残余变形在0.00%～0.00%之间。"/>
    <w:docVar w:name="dispResult2" w:val="(2)在工况二荷载作用下，主梁最大实测弹性挠度值为2.39mm，实测控制截面的挠度值均小于理论值，校验系数在0.53～0.58之间；相对残余变形在0.00%～4.41%之间。"/>
    <w:docVar w:name="dispSummary1" w:val="工况一主梁挠度检测结果详见dispTbCrossRef1，挠度实测值与理论计算值的关系曲线详见dispGraphCrossRef1。检测结果表明，所测主梁的挠度校验系数在0.39～0.54之间，相对残余变形在0.00%～0.00%之间。"/>
    <w:docVar w:name="dispSummary2" w:val="工况二主梁挠度检测结果详见dispTbCrossRef2，挠度实测值与理论计算值的关系曲线详见dispGraphCrossRef2。检测结果表明，所测主梁的挠度校验系数在0.53～0.58之间，相对残余变形在0.00%～4.41%之间。"/>
    <w:docVar w:name="dispTbTitle1" w:val="工况一挠度检测结果汇总表"/>
    <w:docVar w:name="dispTbTitle2" w:val="工况二挠度检测结果汇总表"/>
    <w:docVar w:name="DossierNumber" w:val="/"/>
    <w:docVar w:name="GCDD" w:val="福州市"/>
    <w:docVar w:name="GCM" w:val="福州市三环路东北段B段Ⅰ标段道路工程湖前河桥等3座桥梁"/>
    <w:docVar w:name="JCJCBJ" w:val="检 查"/>
    <w:docVar w:name="JYLB" w:val="委托检测"/>
    <w:docVar w:name="JYXM" w:val="桥梁外观检查"/>
    <w:docVar w:name="JYYJ" w:val="/"/>
    <w:docVar w:name="PDJL" w:val="/"/>
    <w:docVar w:name="PDYJ" w:val="/"/>
    <w:docVar w:name="PZRQ" w:val="/"/>
    <w:docVar w:name="SGDW" w:val="/"/>
    <w:docVar w:name="SJDW" w:val="福州市规划设计研究院"/>
    <w:docVar w:name="strainChartTitle1" w:val="工况一应变实测值与理论计算值的关系曲线"/>
    <w:docVar w:name="strainChartTitle2" w:val="工况二应变实测值与理论计算值的关系曲线"/>
    <w:docVar w:name="strainResult1" w:val="(1)在工况一荷载作用下，所测主梁最大弹性应变为15με，实测控制截面的混凝土应变值均小于理论值，校验系数在0.24～0.47之间；相对残余应变在0.00%～0.00%之间。"/>
    <w:docVar w:name="strainResult2" w:val="(2)在工况二荷载作用下，所测主梁最大弹性应变为45με，实测控制截面的混凝土应变值均小于理论值，校验系数在0.36～0.50之间；相对残余应变在0.00%～3.33%之间。"/>
    <w:docVar w:name="strainSummary1" w:val="工况一测试截面测点应变检测结果详见strainTbCrossRef1，应变实测值与理论计算值的关系曲线详见strainGraphCrossRef1。检测结果表明，所测主梁的应变校验系数在0.24～0.47之间，相对残余应变在0.00%～0.00%之间。"/>
    <w:docVar w:name="strainSummary2" w:val="工况二测试截面测点应变检测结果详见strainTbCrossRef2，应变实测值与理论计算值的关系曲线详见strainGraphCrossRef2。检测结果表明，所测主梁的应变校验系数在0.36～0.50之间，相对残余应变在0.00%～3.33%之间。"/>
    <w:docVar w:name="strainTbTitle1" w:val="工况一应变检测结果汇总表"/>
    <w:docVar w:name="strainTbTitle2" w:val="工况二应变检测结果汇总表"/>
    <w:docVar w:name="SYBH" w:val=" "/>
    <w:docVar w:name="SYH" w:val="YP02CBQL1400121"/>
    <w:docVar w:name="SYRQ" w:val="2014-09-16"/>
    <w:docVar w:name="SYSL" w:val="/"/>
    <w:docVar w:name="UnitName" w:val="福建省建筑工程质量检测中心有限公司"/>
    <w:docVar w:name="WTDW" w:val="福州市市政建设开发公司"/>
    <w:docVar w:name="WTDWDDZ" w:val="/"/>
    <w:docVar w:name="WTPH" w:val="HT02CB1400027"/>
  </w:docVars>
  <w:rsids>
    <w:rsidRoot w:val="00172A27"/>
    <w:rsid w:val="000049BA"/>
    <w:rsid w:val="00006C79"/>
    <w:rsid w:val="0001134D"/>
    <w:rsid w:val="00011473"/>
    <w:rsid w:val="00014709"/>
    <w:rsid w:val="00020926"/>
    <w:rsid w:val="00021FF5"/>
    <w:rsid w:val="00031B73"/>
    <w:rsid w:val="000348DE"/>
    <w:rsid w:val="00036871"/>
    <w:rsid w:val="000369C1"/>
    <w:rsid w:val="00043144"/>
    <w:rsid w:val="00044016"/>
    <w:rsid w:val="00047D1D"/>
    <w:rsid w:val="00051506"/>
    <w:rsid w:val="000534EB"/>
    <w:rsid w:val="00065085"/>
    <w:rsid w:val="00073042"/>
    <w:rsid w:val="00073FF3"/>
    <w:rsid w:val="0007681E"/>
    <w:rsid w:val="00077D79"/>
    <w:rsid w:val="000855D8"/>
    <w:rsid w:val="0009071E"/>
    <w:rsid w:val="00091B76"/>
    <w:rsid w:val="0009565F"/>
    <w:rsid w:val="000A0E05"/>
    <w:rsid w:val="000A3E65"/>
    <w:rsid w:val="000A689B"/>
    <w:rsid w:val="000B19E8"/>
    <w:rsid w:val="000B3627"/>
    <w:rsid w:val="000C1164"/>
    <w:rsid w:val="000C2BDC"/>
    <w:rsid w:val="000C2EF6"/>
    <w:rsid w:val="000C5EA4"/>
    <w:rsid w:val="000D0398"/>
    <w:rsid w:val="000D1054"/>
    <w:rsid w:val="000E78CA"/>
    <w:rsid w:val="000F3805"/>
    <w:rsid w:val="00103676"/>
    <w:rsid w:val="00104CC2"/>
    <w:rsid w:val="00106222"/>
    <w:rsid w:val="001074E8"/>
    <w:rsid w:val="001120BC"/>
    <w:rsid w:val="00114337"/>
    <w:rsid w:val="001149AC"/>
    <w:rsid w:val="00115339"/>
    <w:rsid w:val="0012517C"/>
    <w:rsid w:val="00135C7A"/>
    <w:rsid w:val="001451BC"/>
    <w:rsid w:val="00145461"/>
    <w:rsid w:val="00145FE4"/>
    <w:rsid w:val="00153886"/>
    <w:rsid w:val="00156D20"/>
    <w:rsid w:val="00161F12"/>
    <w:rsid w:val="00165907"/>
    <w:rsid w:val="00166716"/>
    <w:rsid w:val="001712FF"/>
    <w:rsid w:val="00173F0D"/>
    <w:rsid w:val="0017644E"/>
    <w:rsid w:val="00181517"/>
    <w:rsid w:val="00182670"/>
    <w:rsid w:val="0018309C"/>
    <w:rsid w:val="00186E05"/>
    <w:rsid w:val="00187000"/>
    <w:rsid w:val="00192BBE"/>
    <w:rsid w:val="00195610"/>
    <w:rsid w:val="001962FE"/>
    <w:rsid w:val="00196CAA"/>
    <w:rsid w:val="001A7A42"/>
    <w:rsid w:val="001B2061"/>
    <w:rsid w:val="001B311F"/>
    <w:rsid w:val="001B6AD7"/>
    <w:rsid w:val="001C14C5"/>
    <w:rsid w:val="001C528D"/>
    <w:rsid w:val="001D155E"/>
    <w:rsid w:val="001D21E8"/>
    <w:rsid w:val="001D609E"/>
    <w:rsid w:val="001E5770"/>
    <w:rsid w:val="001E7A3D"/>
    <w:rsid w:val="001F1E0F"/>
    <w:rsid w:val="001F446C"/>
    <w:rsid w:val="001F4B3A"/>
    <w:rsid w:val="001F5AE5"/>
    <w:rsid w:val="001F7100"/>
    <w:rsid w:val="00204830"/>
    <w:rsid w:val="002055E2"/>
    <w:rsid w:val="00210C66"/>
    <w:rsid w:val="0021171B"/>
    <w:rsid w:val="00211A6B"/>
    <w:rsid w:val="00213BE4"/>
    <w:rsid w:val="0021680C"/>
    <w:rsid w:val="00222057"/>
    <w:rsid w:val="00223D72"/>
    <w:rsid w:val="00224967"/>
    <w:rsid w:val="00231AF6"/>
    <w:rsid w:val="00233D86"/>
    <w:rsid w:val="00236B63"/>
    <w:rsid w:val="002426FC"/>
    <w:rsid w:val="00243C35"/>
    <w:rsid w:val="0025691D"/>
    <w:rsid w:val="00257644"/>
    <w:rsid w:val="00257B1F"/>
    <w:rsid w:val="00262CD5"/>
    <w:rsid w:val="00265CEF"/>
    <w:rsid w:val="00272C98"/>
    <w:rsid w:val="002742F0"/>
    <w:rsid w:val="00277C89"/>
    <w:rsid w:val="002832AF"/>
    <w:rsid w:val="002868B2"/>
    <w:rsid w:val="0029470E"/>
    <w:rsid w:val="002B0AC6"/>
    <w:rsid w:val="002B15F2"/>
    <w:rsid w:val="002B2FA4"/>
    <w:rsid w:val="002D574F"/>
    <w:rsid w:val="002E50C3"/>
    <w:rsid w:val="002E6A5C"/>
    <w:rsid w:val="002E74E2"/>
    <w:rsid w:val="002F1B3B"/>
    <w:rsid w:val="002F2462"/>
    <w:rsid w:val="002F37C7"/>
    <w:rsid w:val="002F6AFA"/>
    <w:rsid w:val="00300467"/>
    <w:rsid w:val="00303588"/>
    <w:rsid w:val="003044FC"/>
    <w:rsid w:val="003072A9"/>
    <w:rsid w:val="00307CD1"/>
    <w:rsid w:val="003177B2"/>
    <w:rsid w:val="00323896"/>
    <w:rsid w:val="00326009"/>
    <w:rsid w:val="00330101"/>
    <w:rsid w:val="00330185"/>
    <w:rsid w:val="003347CD"/>
    <w:rsid w:val="00334D4C"/>
    <w:rsid w:val="00337171"/>
    <w:rsid w:val="003443AC"/>
    <w:rsid w:val="00344884"/>
    <w:rsid w:val="003521B4"/>
    <w:rsid w:val="00356D35"/>
    <w:rsid w:val="0036214D"/>
    <w:rsid w:val="003660A6"/>
    <w:rsid w:val="00376D05"/>
    <w:rsid w:val="003827C6"/>
    <w:rsid w:val="00384162"/>
    <w:rsid w:val="00384460"/>
    <w:rsid w:val="0039343B"/>
    <w:rsid w:val="003A247A"/>
    <w:rsid w:val="003A731A"/>
    <w:rsid w:val="003B440E"/>
    <w:rsid w:val="003B5DA0"/>
    <w:rsid w:val="003C15D5"/>
    <w:rsid w:val="003D2D5B"/>
    <w:rsid w:val="003D6F85"/>
    <w:rsid w:val="003D76B3"/>
    <w:rsid w:val="003E256A"/>
    <w:rsid w:val="003E3047"/>
    <w:rsid w:val="003E3E34"/>
    <w:rsid w:val="003E7729"/>
    <w:rsid w:val="003F1531"/>
    <w:rsid w:val="003F505C"/>
    <w:rsid w:val="003F5C44"/>
    <w:rsid w:val="003F5F3E"/>
    <w:rsid w:val="00401E85"/>
    <w:rsid w:val="00412EFD"/>
    <w:rsid w:val="00414B4C"/>
    <w:rsid w:val="00416A03"/>
    <w:rsid w:val="00417A25"/>
    <w:rsid w:val="00425FC4"/>
    <w:rsid w:val="00434BE0"/>
    <w:rsid w:val="00436915"/>
    <w:rsid w:val="0043757D"/>
    <w:rsid w:val="00441FD1"/>
    <w:rsid w:val="004444F0"/>
    <w:rsid w:val="004458C9"/>
    <w:rsid w:val="004507FA"/>
    <w:rsid w:val="004517E3"/>
    <w:rsid w:val="004550E3"/>
    <w:rsid w:val="00470116"/>
    <w:rsid w:val="00471B47"/>
    <w:rsid w:val="00472403"/>
    <w:rsid w:val="00484B0A"/>
    <w:rsid w:val="004922FB"/>
    <w:rsid w:val="00493756"/>
    <w:rsid w:val="004C09C8"/>
    <w:rsid w:val="004C1C50"/>
    <w:rsid w:val="004C3403"/>
    <w:rsid w:val="004C5EE1"/>
    <w:rsid w:val="004E1E81"/>
    <w:rsid w:val="004E602F"/>
    <w:rsid w:val="004E70FF"/>
    <w:rsid w:val="004F259A"/>
    <w:rsid w:val="004F4B94"/>
    <w:rsid w:val="004F4DAA"/>
    <w:rsid w:val="004F5396"/>
    <w:rsid w:val="00504C55"/>
    <w:rsid w:val="00504D0D"/>
    <w:rsid w:val="0051208E"/>
    <w:rsid w:val="005120BC"/>
    <w:rsid w:val="005223A0"/>
    <w:rsid w:val="005252EF"/>
    <w:rsid w:val="00526C75"/>
    <w:rsid w:val="00527D20"/>
    <w:rsid w:val="005305A7"/>
    <w:rsid w:val="00535608"/>
    <w:rsid w:val="0053633F"/>
    <w:rsid w:val="00537F5C"/>
    <w:rsid w:val="0054114B"/>
    <w:rsid w:val="00541B9F"/>
    <w:rsid w:val="0054509C"/>
    <w:rsid w:val="005473BB"/>
    <w:rsid w:val="00547848"/>
    <w:rsid w:val="005540BF"/>
    <w:rsid w:val="00554B85"/>
    <w:rsid w:val="005577DA"/>
    <w:rsid w:val="00557C95"/>
    <w:rsid w:val="00561658"/>
    <w:rsid w:val="005727F5"/>
    <w:rsid w:val="005829A7"/>
    <w:rsid w:val="00587D3D"/>
    <w:rsid w:val="005A1171"/>
    <w:rsid w:val="005B12D0"/>
    <w:rsid w:val="005B5BB6"/>
    <w:rsid w:val="005D5BF2"/>
    <w:rsid w:val="005F10F1"/>
    <w:rsid w:val="005F2CCE"/>
    <w:rsid w:val="005F5A85"/>
    <w:rsid w:val="006108C5"/>
    <w:rsid w:val="006162A9"/>
    <w:rsid w:val="00616797"/>
    <w:rsid w:val="00617D12"/>
    <w:rsid w:val="00621C07"/>
    <w:rsid w:val="00630B18"/>
    <w:rsid w:val="00640239"/>
    <w:rsid w:val="0064464F"/>
    <w:rsid w:val="00647D4E"/>
    <w:rsid w:val="00655A95"/>
    <w:rsid w:val="0067092D"/>
    <w:rsid w:val="00677FCC"/>
    <w:rsid w:val="00682310"/>
    <w:rsid w:val="00682545"/>
    <w:rsid w:val="00686711"/>
    <w:rsid w:val="006874D1"/>
    <w:rsid w:val="00690C0F"/>
    <w:rsid w:val="006932D7"/>
    <w:rsid w:val="00693AD6"/>
    <w:rsid w:val="00696EE5"/>
    <w:rsid w:val="006A09A7"/>
    <w:rsid w:val="006A445D"/>
    <w:rsid w:val="006A7A0C"/>
    <w:rsid w:val="006B0B7B"/>
    <w:rsid w:val="006B4DBF"/>
    <w:rsid w:val="006C0A34"/>
    <w:rsid w:val="006C1F23"/>
    <w:rsid w:val="006C6730"/>
    <w:rsid w:val="006D2359"/>
    <w:rsid w:val="006D5C89"/>
    <w:rsid w:val="006D6A7C"/>
    <w:rsid w:val="006E1438"/>
    <w:rsid w:val="006E2397"/>
    <w:rsid w:val="006E590F"/>
    <w:rsid w:val="006E718C"/>
    <w:rsid w:val="006F3CBE"/>
    <w:rsid w:val="006F4942"/>
    <w:rsid w:val="00706D18"/>
    <w:rsid w:val="00713EBC"/>
    <w:rsid w:val="00715275"/>
    <w:rsid w:val="00715F81"/>
    <w:rsid w:val="0071770B"/>
    <w:rsid w:val="007210D5"/>
    <w:rsid w:val="00723675"/>
    <w:rsid w:val="00726658"/>
    <w:rsid w:val="00730DC3"/>
    <w:rsid w:val="00731366"/>
    <w:rsid w:val="007369CE"/>
    <w:rsid w:val="007424DF"/>
    <w:rsid w:val="00743C3F"/>
    <w:rsid w:val="00750D52"/>
    <w:rsid w:val="00752033"/>
    <w:rsid w:val="00754509"/>
    <w:rsid w:val="00754722"/>
    <w:rsid w:val="0075541D"/>
    <w:rsid w:val="0075768D"/>
    <w:rsid w:val="00763089"/>
    <w:rsid w:val="00765F34"/>
    <w:rsid w:val="00773876"/>
    <w:rsid w:val="0077496B"/>
    <w:rsid w:val="0078567D"/>
    <w:rsid w:val="00790A27"/>
    <w:rsid w:val="00794E1F"/>
    <w:rsid w:val="007A53CF"/>
    <w:rsid w:val="007A6132"/>
    <w:rsid w:val="007B0DB4"/>
    <w:rsid w:val="007B194A"/>
    <w:rsid w:val="007B394C"/>
    <w:rsid w:val="007C1ACD"/>
    <w:rsid w:val="007C1C20"/>
    <w:rsid w:val="007C4B4A"/>
    <w:rsid w:val="007C5BB0"/>
    <w:rsid w:val="007C5D7B"/>
    <w:rsid w:val="007D1004"/>
    <w:rsid w:val="007D1946"/>
    <w:rsid w:val="007D60EC"/>
    <w:rsid w:val="007E0A26"/>
    <w:rsid w:val="007E4C87"/>
    <w:rsid w:val="007E7B09"/>
    <w:rsid w:val="007F11FF"/>
    <w:rsid w:val="007F618F"/>
    <w:rsid w:val="007F7FA2"/>
    <w:rsid w:val="008008D0"/>
    <w:rsid w:val="00800A8E"/>
    <w:rsid w:val="00802135"/>
    <w:rsid w:val="0080374E"/>
    <w:rsid w:val="0080476A"/>
    <w:rsid w:val="00812D6A"/>
    <w:rsid w:val="008272FC"/>
    <w:rsid w:val="0083124E"/>
    <w:rsid w:val="008316E5"/>
    <w:rsid w:val="00841F23"/>
    <w:rsid w:val="008523F8"/>
    <w:rsid w:val="00853882"/>
    <w:rsid w:val="008709C1"/>
    <w:rsid w:val="00870A33"/>
    <w:rsid w:val="00876236"/>
    <w:rsid w:val="008801C0"/>
    <w:rsid w:val="008910E6"/>
    <w:rsid w:val="0089207C"/>
    <w:rsid w:val="00892374"/>
    <w:rsid w:val="008928A5"/>
    <w:rsid w:val="008957DD"/>
    <w:rsid w:val="008A0209"/>
    <w:rsid w:val="008A1A91"/>
    <w:rsid w:val="008A25D3"/>
    <w:rsid w:val="008A5727"/>
    <w:rsid w:val="008B0A97"/>
    <w:rsid w:val="008B4561"/>
    <w:rsid w:val="008B50A0"/>
    <w:rsid w:val="008B6A6F"/>
    <w:rsid w:val="008C6BEC"/>
    <w:rsid w:val="008D3EA3"/>
    <w:rsid w:val="008D4B71"/>
    <w:rsid w:val="008D573F"/>
    <w:rsid w:val="008E1BDA"/>
    <w:rsid w:val="008F1518"/>
    <w:rsid w:val="008F5702"/>
    <w:rsid w:val="00903A3F"/>
    <w:rsid w:val="00903F8B"/>
    <w:rsid w:val="009048BD"/>
    <w:rsid w:val="00904D3A"/>
    <w:rsid w:val="00923F9B"/>
    <w:rsid w:val="00924EA7"/>
    <w:rsid w:val="00926F22"/>
    <w:rsid w:val="00931D86"/>
    <w:rsid w:val="00932620"/>
    <w:rsid w:val="00942E5B"/>
    <w:rsid w:val="00944815"/>
    <w:rsid w:val="009578C6"/>
    <w:rsid w:val="009601C3"/>
    <w:rsid w:val="00962624"/>
    <w:rsid w:val="00963F2B"/>
    <w:rsid w:val="00972481"/>
    <w:rsid w:val="009776CA"/>
    <w:rsid w:val="009814C9"/>
    <w:rsid w:val="00990EF5"/>
    <w:rsid w:val="0099176E"/>
    <w:rsid w:val="0099407F"/>
    <w:rsid w:val="00995A21"/>
    <w:rsid w:val="009A04E5"/>
    <w:rsid w:val="009A166F"/>
    <w:rsid w:val="009A7E1A"/>
    <w:rsid w:val="009B1C7A"/>
    <w:rsid w:val="009B5C1B"/>
    <w:rsid w:val="009B7833"/>
    <w:rsid w:val="009C4F5E"/>
    <w:rsid w:val="009D052B"/>
    <w:rsid w:val="009D2288"/>
    <w:rsid w:val="009D45C9"/>
    <w:rsid w:val="009E5087"/>
    <w:rsid w:val="009F5B30"/>
    <w:rsid w:val="00A122AD"/>
    <w:rsid w:val="00A14D9D"/>
    <w:rsid w:val="00A15364"/>
    <w:rsid w:val="00A23A04"/>
    <w:rsid w:val="00A24D7D"/>
    <w:rsid w:val="00A34A2D"/>
    <w:rsid w:val="00A424D3"/>
    <w:rsid w:val="00A528B5"/>
    <w:rsid w:val="00A55847"/>
    <w:rsid w:val="00A6352A"/>
    <w:rsid w:val="00A65633"/>
    <w:rsid w:val="00A65EBE"/>
    <w:rsid w:val="00A669B2"/>
    <w:rsid w:val="00A76965"/>
    <w:rsid w:val="00A76BCA"/>
    <w:rsid w:val="00A76EFC"/>
    <w:rsid w:val="00A81D22"/>
    <w:rsid w:val="00AA06A6"/>
    <w:rsid w:val="00AA7E65"/>
    <w:rsid w:val="00AB5951"/>
    <w:rsid w:val="00AB5F26"/>
    <w:rsid w:val="00AB6A2D"/>
    <w:rsid w:val="00AC1EB6"/>
    <w:rsid w:val="00AC22DE"/>
    <w:rsid w:val="00AD4079"/>
    <w:rsid w:val="00AD5131"/>
    <w:rsid w:val="00AE45BA"/>
    <w:rsid w:val="00AF1A21"/>
    <w:rsid w:val="00AF4D13"/>
    <w:rsid w:val="00AF784D"/>
    <w:rsid w:val="00AF789B"/>
    <w:rsid w:val="00B03F83"/>
    <w:rsid w:val="00B06C35"/>
    <w:rsid w:val="00B1190D"/>
    <w:rsid w:val="00B1633B"/>
    <w:rsid w:val="00B17EAF"/>
    <w:rsid w:val="00B201D4"/>
    <w:rsid w:val="00B213DF"/>
    <w:rsid w:val="00B25D0F"/>
    <w:rsid w:val="00B26626"/>
    <w:rsid w:val="00B36677"/>
    <w:rsid w:val="00B36ADC"/>
    <w:rsid w:val="00B46CA7"/>
    <w:rsid w:val="00B548D3"/>
    <w:rsid w:val="00B61AFA"/>
    <w:rsid w:val="00B6534A"/>
    <w:rsid w:val="00B72D9E"/>
    <w:rsid w:val="00B761C1"/>
    <w:rsid w:val="00B929EB"/>
    <w:rsid w:val="00B940BE"/>
    <w:rsid w:val="00B94579"/>
    <w:rsid w:val="00B94736"/>
    <w:rsid w:val="00BA7426"/>
    <w:rsid w:val="00BC4E53"/>
    <w:rsid w:val="00BC55F5"/>
    <w:rsid w:val="00BD6709"/>
    <w:rsid w:val="00BF1296"/>
    <w:rsid w:val="00BF284C"/>
    <w:rsid w:val="00BF2AF9"/>
    <w:rsid w:val="00C04BE1"/>
    <w:rsid w:val="00C04D82"/>
    <w:rsid w:val="00C0634C"/>
    <w:rsid w:val="00C13D7C"/>
    <w:rsid w:val="00C1539B"/>
    <w:rsid w:val="00C171F4"/>
    <w:rsid w:val="00C22B06"/>
    <w:rsid w:val="00C23FCB"/>
    <w:rsid w:val="00C24D20"/>
    <w:rsid w:val="00C255DD"/>
    <w:rsid w:val="00C26430"/>
    <w:rsid w:val="00C32E16"/>
    <w:rsid w:val="00C35C8E"/>
    <w:rsid w:val="00C444A9"/>
    <w:rsid w:val="00C570C4"/>
    <w:rsid w:val="00C5795D"/>
    <w:rsid w:val="00C65645"/>
    <w:rsid w:val="00C76E50"/>
    <w:rsid w:val="00C85C8F"/>
    <w:rsid w:val="00C91B79"/>
    <w:rsid w:val="00C96019"/>
    <w:rsid w:val="00C97A28"/>
    <w:rsid w:val="00CA64AA"/>
    <w:rsid w:val="00CA733F"/>
    <w:rsid w:val="00CB1359"/>
    <w:rsid w:val="00CC614C"/>
    <w:rsid w:val="00CD2622"/>
    <w:rsid w:val="00CD2853"/>
    <w:rsid w:val="00CF4A39"/>
    <w:rsid w:val="00D01121"/>
    <w:rsid w:val="00D02ED7"/>
    <w:rsid w:val="00D1007C"/>
    <w:rsid w:val="00D110B7"/>
    <w:rsid w:val="00D23FFE"/>
    <w:rsid w:val="00D255AA"/>
    <w:rsid w:val="00D2724F"/>
    <w:rsid w:val="00D31147"/>
    <w:rsid w:val="00D31676"/>
    <w:rsid w:val="00D36245"/>
    <w:rsid w:val="00D37BE1"/>
    <w:rsid w:val="00D41C4B"/>
    <w:rsid w:val="00D42BFF"/>
    <w:rsid w:val="00D437CE"/>
    <w:rsid w:val="00D52C2E"/>
    <w:rsid w:val="00D54AAB"/>
    <w:rsid w:val="00D556EA"/>
    <w:rsid w:val="00D63E04"/>
    <w:rsid w:val="00D65403"/>
    <w:rsid w:val="00D73654"/>
    <w:rsid w:val="00D73B8F"/>
    <w:rsid w:val="00D754F3"/>
    <w:rsid w:val="00D81CDE"/>
    <w:rsid w:val="00D876CC"/>
    <w:rsid w:val="00D90B00"/>
    <w:rsid w:val="00D90BDC"/>
    <w:rsid w:val="00DA2767"/>
    <w:rsid w:val="00DA7EAE"/>
    <w:rsid w:val="00DB12D5"/>
    <w:rsid w:val="00DB2AF0"/>
    <w:rsid w:val="00DB5C0A"/>
    <w:rsid w:val="00DB67AD"/>
    <w:rsid w:val="00DB6A4F"/>
    <w:rsid w:val="00DB6C27"/>
    <w:rsid w:val="00DB6CB2"/>
    <w:rsid w:val="00DC3F0F"/>
    <w:rsid w:val="00DD06F3"/>
    <w:rsid w:val="00DD48F8"/>
    <w:rsid w:val="00DE3729"/>
    <w:rsid w:val="00DE3B9D"/>
    <w:rsid w:val="00DF7994"/>
    <w:rsid w:val="00E00A96"/>
    <w:rsid w:val="00E02773"/>
    <w:rsid w:val="00E06743"/>
    <w:rsid w:val="00E077AE"/>
    <w:rsid w:val="00E22601"/>
    <w:rsid w:val="00E23A9D"/>
    <w:rsid w:val="00E24D03"/>
    <w:rsid w:val="00E254E8"/>
    <w:rsid w:val="00E344E0"/>
    <w:rsid w:val="00E369E5"/>
    <w:rsid w:val="00E438A2"/>
    <w:rsid w:val="00E43A7F"/>
    <w:rsid w:val="00E4532B"/>
    <w:rsid w:val="00E520E9"/>
    <w:rsid w:val="00E670AA"/>
    <w:rsid w:val="00E67CC1"/>
    <w:rsid w:val="00E80426"/>
    <w:rsid w:val="00E8175D"/>
    <w:rsid w:val="00E8301C"/>
    <w:rsid w:val="00E84900"/>
    <w:rsid w:val="00E85840"/>
    <w:rsid w:val="00E8705D"/>
    <w:rsid w:val="00E96C21"/>
    <w:rsid w:val="00EA1009"/>
    <w:rsid w:val="00EB412C"/>
    <w:rsid w:val="00EB4DFB"/>
    <w:rsid w:val="00EB781A"/>
    <w:rsid w:val="00EC1611"/>
    <w:rsid w:val="00EC2415"/>
    <w:rsid w:val="00EC2496"/>
    <w:rsid w:val="00EC5B8D"/>
    <w:rsid w:val="00EC68A6"/>
    <w:rsid w:val="00ED6F68"/>
    <w:rsid w:val="00EE1EBE"/>
    <w:rsid w:val="00EE505A"/>
    <w:rsid w:val="00EF02C3"/>
    <w:rsid w:val="00EF1D69"/>
    <w:rsid w:val="00EF32DD"/>
    <w:rsid w:val="00EF6637"/>
    <w:rsid w:val="00F052F6"/>
    <w:rsid w:val="00F12F2C"/>
    <w:rsid w:val="00F14BC7"/>
    <w:rsid w:val="00F154EA"/>
    <w:rsid w:val="00F15AF6"/>
    <w:rsid w:val="00F15F47"/>
    <w:rsid w:val="00F16392"/>
    <w:rsid w:val="00F16564"/>
    <w:rsid w:val="00F2247E"/>
    <w:rsid w:val="00F24FA7"/>
    <w:rsid w:val="00F271F5"/>
    <w:rsid w:val="00F308E5"/>
    <w:rsid w:val="00F32550"/>
    <w:rsid w:val="00F33E8C"/>
    <w:rsid w:val="00F3601F"/>
    <w:rsid w:val="00F472CD"/>
    <w:rsid w:val="00F557E3"/>
    <w:rsid w:val="00F628FB"/>
    <w:rsid w:val="00F64BFC"/>
    <w:rsid w:val="00F715FC"/>
    <w:rsid w:val="00F71859"/>
    <w:rsid w:val="00F7405E"/>
    <w:rsid w:val="00F77DB8"/>
    <w:rsid w:val="00F9142E"/>
    <w:rsid w:val="00F9329F"/>
    <w:rsid w:val="00FA345E"/>
    <w:rsid w:val="00FA4CB6"/>
    <w:rsid w:val="00FA76A6"/>
    <w:rsid w:val="00FB159E"/>
    <w:rsid w:val="00FB2E9A"/>
    <w:rsid w:val="00FC2815"/>
    <w:rsid w:val="00FC6E45"/>
    <w:rsid w:val="00FC7CA0"/>
    <w:rsid w:val="00FE6BD0"/>
    <w:rsid w:val="00FF3C01"/>
    <w:rsid w:val="011529C9"/>
    <w:rsid w:val="011970AC"/>
    <w:rsid w:val="01376D62"/>
    <w:rsid w:val="014366E4"/>
    <w:rsid w:val="014B77D8"/>
    <w:rsid w:val="0160734C"/>
    <w:rsid w:val="017857DC"/>
    <w:rsid w:val="01806E14"/>
    <w:rsid w:val="01966EB6"/>
    <w:rsid w:val="01A26D26"/>
    <w:rsid w:val="01AB7AC5"/>
    <w:rsid w:val="01B6261C"/>
    <w:rsid w:val="01D46D77"/>
    <w:rsid w:val="01D800F1"/>
    <w:rsid w:val="01DD6C95"/>
    <w:rsid w:val="01E9548E"/>
    <w:rsid w:val="01F66D0B"/>
    <w:rsid w:val="020E09B7"/>
    <w:rsid w:val="02107D81"/>
    <w:rsid w:val="02142243"/>
    <w:rsid w:val="021D5A93"/>
    <w:rsid w:val="021F1753"/>
    <w:rsid w:val="0236572B"/>
    <w:rsid w:val="023C2493"/>
    <w:rsid w:val="024A16F0"/>
    <w:rsid w:val="02581622"/>
    <w:rsid w:val="02797966"/>
    <w:rsid w:val="027D0F8C"/>
    <w:rsid w:val="02895E12"/>
    <w:rsid w:val="028A2CA9"/>
    <w:rsid w:val="028B21A1"/>
    <w:rsid w:val="02A245F3"/>
    <w:rsid w:val="02A42EB9"/>
    <w:rsid w:val="02B101E4"/>
    <w:rsid w:val="02B6054A"/>
    <w:rsid w:val="02CC3D73"/>
    <w:rsid w:val="02E82875"/>
    <w:rsid w:val="02ED69DF"/>
    <w:rsid w:val="02EF6648"/>
    <w:rsid w:val="030E1AF2"/>
    <w:rsid w:val="03126A01"/>
    <w:rsid w:val="031B2505"/>
    <w:rsid w:val="0331729E"/>
    <w:rsid w:val="03376375"/>
    <w:rsid w:val="03502A5C"/>
    <w:rsid w:val="035078EA"/>
    <w:rsid w:val="03536FC2"/>
    <w:rsid w:val="035566D0"/>
    <w:rsid w:val="038914C2"/>
    <w:rsid w:val="038E1909"/>
    <w:rsid w:val="03924FDD"/>
    <w:rsid w:val="0396591F"/>
    <w:rsid w:val="03B201E3"/>
    <w:rsid w:val="03BA58DF"/>
    <w:rsid w:val="03BB6A4A"/>
    <w:rsid w:val="03BF0886"/>
    <w:rsid w:val="03BF3493"/>
    <w:rsid w:val="03C603C0"/>
    <w:rsid w:val="03D805CF"/>
    <w:rsid w:val="03E13BE9"/>
    <w:rsid w:val="03ED0BF2"/>
    <w:rsid w:val="03EE0000"/>
    <w:rsid w:val="03F9166F"/>
    <w:rsid w:val="04046237"/>
    <w:rsid w:val="040A780A"/>
    <w:rsid w:val="04192FAE"/>
    <w:rsid w:val="0444069C"/>
    <w:rsid w:val="044A483B"/>
    <w:rsid w:val="0451046D"/>
    <w:rsid w:val="045958C4"/>
    <w:rsid w:val="047A2D3E"/>
    <w:rsid w:val="0481027C"/>
    <w:rsid w:val="048F2305"/>
    <w:rsid w:val="04997208"/>
    <w:rsid w:val="04C1169A"/>
    <w:rsid w:val="04C1452B"/>
    <w:rsid w:val="04CF5D6F"/>
    <w:rsid w:val="050078B4"/>
    <w:rsid w:val="05022C38"/>
    <w:rsid w:val="050E34D4"/>
    <w:rsid w:val="05102386"/>
    <w:rsid w:val="05234800"/>
    <w:rsid w:val="053D75D2"/>
    <w:rsid w:val="05405F18"/>
    <w:rsid w:val="054B3628"/>
    <w:rsid w:val="056548C1"/>
    <w:rsid w:val="057A023E"/>
    <w:rsid w:val="0595063D"/>
    <w:rsid w:val="059D19C0"/>
    <w:rsid w:val="05A63829"/>
    <w:rsid w:val="05A84572"/>
    <w:rsid w:val="05B05731"/>
    <w:rsid w:val="05D769EB"/>
    <w:rsid w:val="05DD256A"/>
    <w:rsid w:val="05E820D5"/>
    <w:rsid w:val="05F1762A"/>
    <w:rsid w:val="05FA2C8A"/>
    <w:rsid w:val="06084F90"/>
    <w:rsid w:val="0610655A"/>
    <w:rsid w:val="06161594"/>
    <w:rsid w:val="06181AF8"/>
    <w:rsid w:val="061F7601"/>
    <w:rsid w:val="06375832"/>
    <w:rsid w:val="06381B80"/>
    <w:rsid w:val="066972E9"/>
    <w:rsid w:val="066E7167"/>
    <w:rsid w:val="0677057C"/>
    <w:rsid w:val="067A330B"/>
    <w:rsid w:val="069401CF"/>
    <w:rsid w:val="069A72A4"/>
    <w:rsid w:val="06A8675A"/>
    <w:rsid w:val="06B35E67"/>
    <w:rsid w:val="06DD5653"/>
    <w:rsid w:val="06FB343C"/>
    <w:rsid w:val="070A3BDD"/>
    <w:rsid w:val="07331F77"/>
    <w:rsid w:val="07432596"/>
    <w:rsid w:val="0744092E"/>
    <w:rsid w:val="07586075"/>
    <w:rsid w:val="076123FA"/>
    <w:rsid w:val="077343AB"/>
    <w:rsid w:val="077B08E3"/>
    <w:rsid w:val="078375C5"/>
    <w:rsid w:val="07892557"/>
    <w:rsid w:val="07BA2F94"/>
    <w:rsid w:val="07CA2D1D"/>
    <w:rsid w:val="07DC4E42"/>
    <w:rsid w:val="07E84C4E"/>
    <w:rsid w:val="07EC26A9"/>
    <w:rsid w:val="07FE7255"/>
    <w:rsid w:val="080519C0"/>
    <w:rsid w:val="08073402"/>
    <w:rsid w:val="081D0E4C"/>
    <w:rsid w:val="08225127"/>
    <w:rsid w:val="082A067C"/>
    <w:rsid w:val="084778C7"/>
    <w:rsid w:val="08717D17"/>
    <w:rsid w:val="08745E69"/>
    <w:rsid w:val="08836EB9"/>
    <w:rsid w:val="089D264F"/>
    <w:rsid w:val="08A545D0"/>
    <w:rsid w:val="08A84FA8"/>
    <w:rsid w:val="08AA4E6B"/>
    <w:rsid w:val="08D74B60"/>
    <w:rsid w:val="08E379F3"/>
    <w:rsid w:val="08E802E0"/>
    <w:rsid w:val="08EA3B02"/>
    <w:rsid w:val="08F11D08"/>
    <w:rsid w:val="08FD40F5"/>
    <w:rsid w:val="08FE1F41"/>
    <w:rsid w:val="090B7DD3"/>
    <w:rsid w:val="09216DE0"/>
    <w:rsid w:val="09270151"/>
    <w:rsid w:val="09465ACF"/>
    <w:rsid w:val="0949342A"/>
    <w:rsid w:val="094A5AD7"/>
    <w:rsid w:val="09815214"/>
    <w:rsid w:val="099044B5"/>
    <w:rsid w:val="099736E7"/>
    <w:rsid w:val="09CD59FD"/>
    <w:rsid w:val="09DC6722"/>
    <w:rsid w:val="09F21BC6"/>
    <w:rsid w:val="09F36251"/>
    <w:rsid w:val="09F45FD8"/>
    <w:rsid w:val="09F93B0B"/>
    <w:rsid w:val="0A0574A9"/>
    <w:rsid w:val="0A085E18"/>
    <w:rsid w:val="0A125AE3"/>
    <w:rsid w:val="0A1542CE"/>
    <w:rsid w:val="0A17395C"/>
    <w:rsid w:val="0A26649E"/>
    <w:rsid w:val="0A3250FC"/>
    <w:rsid w:val="0A336943"/>
    <w:rsid w:val="0A583B9D"/>
    <w:rsid w:val="0A5E2DBE"/>
    <w:rsid w:val="0A6E3FA8"/>
    <w:rsid w:val="0A71257D"/>
    <w:rsid w:val="0A787099"/>
    <w:rsid w:val="0A800542"/>
    <w:rsid w:val="0A854FE1"/>
    <w:rsid w:val="0A964C2C"/>
    <w:rsid w:val="0AA56FB2"/>
    <w:rsid w:val="0AA85374"/>
    <w:rsid w:val="0AB35883"/>
    <w:rsid w:val="0ABE50FC"/>
    <w:rsid w:val="0ACC3CE7"/>
    <w:rsid w:val="0AEF5102"/>
    <w:rsid w:val="0B0274D5"/>
    <w:rsid w:val="0B085FB9"/>
    <w:rsid w:val="0B0B0746"/>
    <w:rsid w:val="0B0F474C"/>
    <w:rsid w:val="0B24387B"/>
    <w:rsid w:val="0B4575AA"/>
    <w:rsid w:val="0B477F39"/>
    <w:rsid w:val="0B49660B"/>
    <w:rsid w:val="0B4D0E09"/>
    <w:rsid w:val="0B5E0349"/>
    <w:rsid w:val="0B697E8A"/>
    <w:rsid w:val="0B8618F0"/>
    <w:rsid w:val="0BA005D5"/>
    <w:rsid w:val="0BB7348D"/>
    <w:rsid w:val="0BB754BE"/>
    <w:rsid w:val="0BB91287"/>
    <w:rsid w:val="0BC0617E"/>
    <w:rsid w:val="0BC1638D"/>
    <w:rsid w:val="0BC87E0B"/>
    <w:rsid w:val="0BC924E4"/>
    <w:rsid w:val="0BC972B1"/>
    <w:rsid w:val="0BCE3270"/>
    <w:rsid w:val="0BDA5879"/>
    <w:rsid w:val="0BDB4D65"/>
    <w:rsid w:val="0BDB64A6"/>
    <w:rsid w:val="0BDF2D79"/>
    <w:rsid w:val="0BE07997"/>
    <w:rsid w:val="0BF8531C"/>
    <w:rsid w:val="0C1F08EF"/>
    <w:rsid w:val="0C277215"/>
    <w:rsid w:val="0C2B3FBC"/>
    <w:rsid w:val="0C360F46"/>
    <w:rsid w:val="0C471E76"/>
    <w:rsid w:val="0C5D7493"/>
    <w:rsid w:val="0C7A351C"/>
    <w:rsid w:val="0C86142E"/>
    <w:rsid w:val="0C9108C4"/>
    <w:rsid w:val="0C932089"/>
    <w:rsid w:val="0C9A7A46"/>
    <w:rsid w:val="0CAC0BEA"/>
    <w:rsid w:val="0CB545AB"/>
    <w:rsid w:val="0CEA05FC"/>
    <w:rsid w:val="0D013595"/>
    <w:rsid w:val="0D070538"/>
    <w:rsid w:val="0D0A06A5"/>
    <w:rsid w:val="0D1F4E01"/>
    <w:rsid w:val="0D272220"/>
    <w:rsid w:val="0D3D412E"/>
    <w:rsid w:val="0D3E1A6A"/>
    <w:rsid w:val="0D460BAB"/>
    <w:rsid w:val="0D6A2E38"/>
    <w:rsid w:val="0D743370"/>
    <w:rsid w:val="0D7A7E95"/>
    <w:rsid w:val="0D7C18C1"/>
    <w:rsid w:val="0D850A19"/>
    <w:rsid w:val="0DA376B3"/>
    <w:rsid w:val="0DBB0935"/>
    <w:rsid w:val="0DCB2BEF"/>
    <w:rsid w:val="0DD03700"/>
    <w:rsid w:val="0DD759F4"/>
    <w:rsid w:val="0DE863C7"/>
    <w:rsid w:val="0E052542"/>
    <w:rsid w:val="0E226CC8"/>
    <w:rsid w:val="0E2B281A"/>
    <w:rsid w:val="0E366331"/>
    <w:rsid w:val="0E3F3400"/>
    <w:rsid w:val="0E401B93"/>
    <w:rsid w:val="0E403E70"/>
    <w:rsid w:val="0E41477D"/>
    <w:rsid w:val="0E6A6B14"/>
    <w:rsid w:val="0E792B87"/>
    <w:rsid w:val="0E7D1FA4"/>
    <w:rsid w:val="0E990EFC"/>
    <w:rsid w:val="0E9C2D4F"/>
    <w:rsid w:val="0EAA68DF"/>
    <w:rsid w:val="0EB113C0"/>
    <w:rsid w:val="0ED21580"/>
    <w:rsid w:val="0EF43BD6"/>
    <w:rsid w:val="0EFE219D"/>
    <w:rsid w:val="0F262CF8"/>
    <w:rsid w:val="0F2E7BBE"/>
    <w:rsid w:val="0F3676EE"/>
    <w:rsid w:val="0F416583"/>
    <w:rsid w:val="0F507C51"/>
    <w:rsid w:val="0F67535E"/>
    <w:rsid w:val="0F6D26F0"/>
    <w:rsid w:val="0F6F6683"/>
    <w:rsid w:val="0F7650C6"/>
    <w:rsid w:val="0F7F1319"/>
    <w:rsid w:val="0F810EB6"/>
    <w:rsid w:val="0F840F4D"/>
    <w:rsid w:val="0F863008"/>
    <w:rsid w:val="0F8A50BB"/>
    <w:rsid w:val="0F9564A7"/>
    <w:rsid w:val="0F9A7552"/>
    <w:rsid w:val="0F9B69D3"/>
    <w:rsid w:val="0FA251D9"/>
    <w:rsid w:val="0FAB1EF8"/>
    <w:rsid w:val="0FB17FFC"/>
    <w:rsid w:val="0FCA4078"/>
    <w:rsid w:val="0FCB4DC7"/>
    <w:rsid w:val="0FE30055"/>
    <w:rsid w:val="10125C5C"/>
    <w:rsid w:val="1014446E"/>
    <w:rsid w:val="10217F0F"/>
    <w:rsid w:val="10415750"/>
    <w:rsid w:val="1042362B"/>
    <w:rsid w:val="104B0082"/>
    <w:rsid w:val="104C1AE3"/>
    <w:rsid w:val="104F2985"/>
    <w:rsid w:val="1086117E"/>
    <w:rsid w:val="10886E41"/>
    <w:rsid w:val="10956CDD"/>
    <w:rsid w:val="10AA23D9"/>
    <w:rsid w:val="10AF0002"/>
    <w:rsid w:val="10B924E2"/>
    <w:rsid w:val="10BB66FD"/>
    <w:rsid w:val="10D75F5B"/>
    <w:rsid w:val="10DA07E6"/>
    <w:rsid w:val="10EF4971"/>
    <w:rsid w:val="10F87917"/>
    <w:rsid w:val="11062D92"/>
    <w:rsid w:val="11117D3C"/>
    <w:rsid w:val="11141916"/>
    <w:rsid w:val="11472131"/>
    <w:rsid w:val="11500CD6"/>
    <w:rsid w:val="1152742B"/>
    <w:rsid w:val="115773E0"/>
    <w:rsid w:val="11583F84"/>
    <w:rsid w:val="11592BC4"/>
    <w:rsid w:val="116068B0"/>
    <w:rsid w:val="118A32BA"/>
    <w:rsid w:val="11AB5818"/>
    <w:rsid w:val="11B15603"/>
    <w:rsid w:val="11C4472E"/>
    <w:rsid w:val="11CE6BD4"/>
    <w:rsid w:val="12053EA1"/>
    <w:rsid w:val="120D2D09"/>
    <w:rsid w:val="12276A82"/>
    <w:rsid w:val="123059FE"/>
    <w:rsid w:val="124301CE"/>
    <w:rsid w:val="12476ED4"/>
    <w:rsid w:val="12714147"/>
    <w:rsid w:val="128D2C00"/>
    <w:rsid w:val="129E7D29"/>
    <w:rsid w:val="12AF013D"/>
    <w:rsid w:val="12B55639"/>
    <w:rsid w:val="12BD32CD"/>
    <w:rsid w:val="12C6618F"/>
    <w:rsid w:val="12CD1A68"/>
    <w:rsid w:val="12D560E5"/>
    <w:rsid w:val="12DB2D5D"/>
    <w:rsid w:val="12DC1A30"/>
    <w:rsid w:val="12EA6272"/>
    <w:rsid w:val="130A7FEA"/>
    <w:rsid w:val="131064DB"/>
    <w:rsid w:val="131B1537"/>
    <w:rsid w:val="131F6856"/>
    <w:rsid w:val="13420FAB"/>
    <w:rsid w:val="13491E5E"/>
    <w:rsid w:val="136C0AFE"/>
    <w:rsid w:val="13AE1C2D"/>
    <w:rsid w:val="13C83749"/>
    <w:rsid w:val="13CE1165"/>
    <w:rsid w:val="13E71005"/>
    <w:rsid w:val="13E761E9"/>
    <w:rsid w:val="13FF2141"/>
    <w:rsid w:val="140E0AD5"/>
    <w:rsid w:val="14121AB7"/>
    <w:rsid w:val="14132573"/>
    <w:rsid w:val="1433329B"/>
    <w:rsid w:val="14480C65"/>
    <w:rsid w:val="14537F7D"/>
    <w:rsid w:val="145E7F6B"/>
    <w:rsid w:val="146C49AA"/>
    <w:rsid w:val="149F0D4D"/>
    <w:rsid w:val="14A53905"/>
    <w:rsid w:val="14C51F76"/>
    <w:rsid w:val="14D51578"/>
    <w:rsid w:val="151A450B"/>
    <w:rsid w:val="15210143"/>
    <w:rsid w:val="15272836"/>
    <w:rsid w:val="1559759C"/>
    <w:rsid w:val="1561794C"/>
    <w:rsid w:val="15646320"/>
    <w:rsid w:val="156D3FB3"/>
    <w:rsid w:val="15900B91"/>
    <w:rsid w:val="15901BFB"/>
    <w:rsid w:val="15A862F0"/>
    <w:rsid w:val="15A910F0"/>
    <w:rsid w:val="15AA5666"/>
    <w:rsid w:val="15BB1BB2"/>
    <w:rsid w:val="15BB5BFB"/>
    <w:rsid w:val="15CE7043"/>
    <w:rsid w:val="15D43F39"/>
    <w:rsid w:val="15E46A4A"/>
    <w:rsid w:val="15F165A4"/>
    <w:rsid w:val="15F562B1"/>
    <w:rsid w:val="15F97CED"/>
    <w:rsid w:val="15FB1221"/>
    <w:rsid w:val="16044E7F"/>
    <w:rsid w:val="16396DB3"/>
    <w:rsid w:val="16477DA8"/>
    <w:rsid w:val="164E4CC1"/>
    <w:rsid w:val="16606A36"/>
    <w:rsid w:val="166F4CE3"/>
    <w:rsid w:val="168E565A"/>
    <w:rsid w:val="16A122A2"/>
    <w:rsid w:val="16A81495"/>
    <w:rsid w:val="16B64D2D"/>
    <w:rsid w:val="16BE1559"/>
    <w:rsid w:val="16C27DA2"/>
    <w:rsid w:val="16CC23DC"/>
    <w:rsid w:val="16CD196E"/>
    <w:rsid w:val="16E45323"/>
    <w:rsid w:val="16F739D6"/>
    <w:rsid w:val="16FE67D7"/>
    <w:rsid w:val="170F15F9"/>
    <w:rsid w:val="17260164"/>
    <w:rsid w:val="172633F8"/>
    <w:rsid w:val="17296039"/>
    <w:rsid w:val="173F2620"/>
    <w:rsid w:val="175B5761"/>
    <w:rsid w:val="17646386"/>
    <w:rsid w:val="17663335"/>
    <w:rsid w:val="176A4066"/>
    <w:rsid w:val="177039DE"/>
    <w:rsid w:val="17707E53"/>
    <w:rsid w:val="17854713"/>
    <w:rsid w:val="17937AB0"/>
    <w:rsid w:val="17972FDE"/>
    <w:rsid w:val="17BB457B"/>
    <w:rsid w:val="17C66583"/>
    <w:rsid w:val="17C800B5"/>
    <w:rsid w:val="17DF51E2"/>
    <w:rsid w:val="17FA3191"/>
    <w:rsid w:val="180E2A72"/>
    <w:rsid w:val="180F4186"/>
    <w:rsid w:val="182250D9"/>
    <w:rsid w:val="182B0260"/>
    <w:rsid w:val="182C617F"/>
    <w:rsid w:val="1834162C"/>
    <w:rsid w:val="183A54FD"/>
    <w:rsid w:val="18735A6A"/>
    <w:rsid w:val="189E0244"/>
    <w:rsid w:val="18A27398"/>
    <w:rsid w:val="18A462AC"/>
    <w:rsid w:val="18A657BF"/>
    <w:rsid w:val="18AD5DD5"/>
    <w:rsid w:val="18CE2DF7"/>
    <w:rsid w:val="19126636"/>
    <w:rsid w:val="191B0894"/>
    <w:rsid w:val="192166BD"/>
    <w:rsid w:val="192F5E5A"/>
    <w:rsid w:val="19306954"/>
    <w:rsid w:val="19330334"/>
    <w:rsid w:val="193D197C"/>
    <w:rsid w:val="195441A8"/>
    <w:rsid w:val="19616989"/>
    <w:rsid w:val="19976901"/>
    <w:rsid w:val="19C11EEA"/>
    <w:rsid w:val="19C13760"/>
    <w:rsid w:val="19E11B00"/>
    <w:rsid w:val="19E564ED"/>
    <w:rsid w:val="19F14649"/>
    <w:rsid w:val="19FE7BBA"/>
    <w:rsid w:val="1A280CB1"/>
    <w:rsid w:val="1A3666FC"/>
    <w:rsid w:val="1A3F4FA2"/>
    <w:rsid w:val="1A4432C2"/>
    <w:rsid w:val="1A5E14E8"/>
    <w:rsid w:val="1A7C44C1"/>
    <w:rsid w:val="1A9134DF"/>
    <w:rsid w:val="1AA9504E"/>
    <w:rsid w:val="1ABD7E44"/>
    <w:rsid w:val="1AC320EA"/>
    <w:rsid w:val="1AD12A8E"/>
    <w:rsid w:val="1AD16FA3"/>
    <w:rsid w:val="1ADE09ED"/>
    <w:rsid w:val="1AEB2A2B"/>
    <w:rsid w:val="1AF81B05"/>
    <w:rsid w:val="1AFA1849"/>
    <w:rsid w:val="1AFF47DC"/>
    <w:rsid w:val="1B140288"/>
    <w:rsid w:val="1B1C6960"/>
    <w:rsid w:val="1B1D1ADD"/>
    <w:rsid w:val="1B1F73FE"/>
    <w:rsid w:val="1B3A19C4"/>
    <w:rsid w:val="1B462128"/>
    <w:rsid w:val="1B495AFD"/>
    <w:rsid w:val="1B5107FA"/>
    <w:rsid w:val="1B6877E5"/>
    <w:rsid w:val="1B6A4EE8"/>
    <w:rsid w:val="1B752589"/>
    <w:rsid w:val="1B7D07D5"/>
    <w:rsid w:val="1B853CD1"/>
    <w:rsid w:val="1B906D10"/>
    <w:rsid w:val="1B972C67"/>
    <w:rsid w:val="1BA27CA8"/>
    <w:rsid w:val="1BA73715"/>
    <w:rsid w:val="1BB02729"/>
    <w:rsid w:val="1BB63159"/>
    <w:rsid w:val="1BBA6006"/>
    <w:rsid w:val="1BE1595F"/>
    <w:rsid w:val="1BEA4C49"/>
    <w:rsid w:val="1BF96E3B"/>
    <w:rsid w:val="1C0A07E2"/>
    <w:rsid w:val="1C1D11BB"/>
    <w:rsid w:val="1C1D6871"/>
    <w:rsid w:val="1C220E09"/>
    <w:rsid w:val="1C334D36"/>
    <w:rsid w:val="1C364843"/>
    <w:rsid w:val="1C3D55BC"/>
    <w:rsid w:val="1C4A1EFC"/>
    <w:rsid w:val="1C515D1E"/>
    <w:rsid w:val="1C6A5618"/>
    <w:rsid w:val="1C6D0956"/>
    <w:rsid w:val="1C8271BF"/>
    <w:rsid w:val="1C896426"/>
    <w:rsid w:val="1C8E6D73"/>
    <w:rsid w:val="1C9227F8"/>
    <w:rsid w:val="1CB735C0"/>
    <w:rsid w:val="1CC24862"/>
    <w:rsid w:val="1CCB64B7"/>
    <w:rsid w:val="1CCD3A92"/>
    <w:rsid w:val="1CD070D6"/>
    <w:rsid w:val="1CD923FA"/>
    <w:rsid w:val="1CF7538A"/>
    <w:rsid w:val="1CF85767"/>
    <w:rsid w:val="1CFA6621"/>
    <w:rsid w:val="1CFB31C8"/>
    <w:rsid w:val="1D0A2018"/>
    <w:rsid w:val="1D0B1126"/>
    <w:rsid w:val="1D1C78C7"/>
    <w:rsid w:val="1D1F2AE7"/>
    <w:rsid w:val="1D270D38"/>
    <w:rsid w:val="1D39597F"/>
    <w:rsid w:val="1D426EC8"/>
    <w:rsid w:val="1D5A5313"/>
    <w:rsid w:val="1D616217"/>
    <w:rsid w:val="1D6C2A4C"/>
    <w:rsid w:val="1D6F40B5"/>
    <w:rsid w:val="1D74310F"/>
    <w:rsid w:val="1D7A3749"/>
    <w:rsid w:val="1DAB0F51"/>
    <w:rsid w:val="1DBC0204"/>
    <w:rsid w:val="1DBC22E0"/>
    <w:rsid w:val="1DC27DE9"/>
    <w:rsid w:val="1DD960C8"/>
    <w:rsid w:val="1DE32193"/>
    <w:rsid w:val="1DF72574"/>
    <w:rsid w:val="1E041A63"/>
    <w:rsid w:val="1E075CB8"/>
    <w:rsid w:val="1E116F94"/>
    <w:rsid w:val="1E2A6F00"/>
    <w:rsid w:val="1E320F0F"/>
    <w:rsid w:val="1E3323FC"/>
    <w:rsid w:val="1E435906"/>
    <w:rsid w:val="1E4443ED"/>
    <w:rsid w:val="1E476A12"/>
    <w:rsid w:val="1E5D25C9"/>
    <w:rsid w:val="1E6D3B96"/>
    <w:rsid w:val="1E766E25"/>
    <w:rsid w:val="1E7E3DC6"/>
    <w:rsid w:val="1E88712C"/>
    <w:rsid w:val="1E981ED2"/>
    <w:rsid w:val="1E9E28B0"/>
    <w:rsid w:val="1EAB0681"/>
    <w:rsid w:val="1EC2754B"/>
    <w:rsid w:val="1ECD7692"/>
    <w:rsid w:val="1F086FE1"/>
    <w:rsid w:val="1F2059A0"/>
    <w:rsid w:val="1F30258D"/>
    <w:rsid w:val="1F4B4B80"/>
    <w:rsid w:val="1F505DCA"/>
    <w:rsid w:val="1F612887"/>
    <w:rsid w:val="1F7926A2"/>
    <w:rsid w:val="1F836EB9"/>
    <w:rsid w:val="1F954DDE"/>
    <w:rsid w:val="1FAE453C"/>
    <w:rsid w:val="1FBA5E26"/>
    <w:rsid w:val="1FC64A21"/>
    <w:rsid w:val="1FE946E9"/>
    <w:rsid w:val="1FF832DC"/>
    <w:rsid w:val="1FF8547E"/>
    <w:rsid w:val="1FFA2612"/>
    <w:rsid w:val="20023EA6"/>
    <w:rsid w:val="200E1C7D"/>
    <w:rsid w:val="201161EE"/>
    <w:rsid w:val="20286575"/>
    <w:rsid w:val="202D72C0"/>
    <w:rsid w:val="2033481B"/>
    <w:rsid w:val="20427140"/>
    <w:rsid w:val="20535918"/>
    <w:rsid w:val="205B550D"/>
    <w:rsid w:val="207126BC"/>
    <w:rsid w:val="20A672D0"/>
    <w:rsid w:val="20B71D95"/>
    <w:rsid w:val="21064335"/>
    <w:rsid w:val="2109414D"/>
    <w:rsid w:val="210F39C9"/>
    <w:rsid w:val="21375234"/>
    <w:rsid w:val="213957E4"/>
    <w:rsid w:val="21494D3C"/>
    <w:rsid w:val="21590C91"/>
    <w:rsid w:val="21656231"/>
    <w:rsid w:val="216767F6"/>
    <w:rsid w:val="216E1C48"/>
    <w:rsid w:val="21764034"/>
    <w:rsid w:val="218B4E5C"/>
    <w:rsid w:val="21A3169A"/>
    <w:rsid w:val="21D23245"/>
    <w:rsid w:val="21D36BD3"/>
    <w:rsid w:val="21E812F0"/>
    <w:rsid w:val="21FC224C"/>
    <w:rsid w:val="2221019C"/>
    <w:rsid w:val="22281393"/>
    <w:rsid w:val="22377A54"/>
    <w:rsid w:val="224C139F"/>
    <w:rsid w:val="22537EF0"/>
    <w:rsid w:val="22557B74"/>
    <w:rsid w:val="22674718"/>
    <w:rsid w:val="22691BA8"/>
    <w:rsid w:val="22771BF4"/>
    <w:rsid w:val="22963F85"/>
    <w:rsid w:val="22971B15"/>
    <w:rsid w:val="22A57DA4"/>
    <w:rsid w:val="22BC372A"/>
    <w:rsid w:val="22C83E7E"/>
    <w:rsid w:val="22E12DED"/>
    <w:rsid w:val="22E81CA3"/>
    <w:rsid w:val="22EF78DF"/>
    <w:rsid w:val="22F60593"/>
    <w:rsid w:val="22F73198"/>
    <w:rsid w:val="2301135B"/>
    <w:rsid w:val="231748EE"/>
    <w:rsid w:val="23246300"/>
    <w:rsid w:val="232963EA"/>
    <w:rsid w:val="232F74C1"/>
    <w:rsid w:val="23303944"/>
    <w:rsid w:val="236C2086"/>
    <w:rsid w:val="23774E1F"/>
    <w:rsid w:val="23791165"/>
    <w:rsid w:val="238B30B1"/>
    <w:rsid w:val="23B2757C"/>
    <w:rsid w:val="23B35CE8"/>
    <w:rsid w:val="23BC7158"/>
    <w:rsid w:val="23CA18BD"/>
    <w:rsid w:val="23E42526"/>
    <w:rsid w:val="23EB4340"/>
    <w:rsid w:val="23EF2763"/>
    <w:rsid w:val="23F672D2"/>
    <w:rsid w:val="24005779"/>
    <w:rsid w:val="24147927"/>
    <w:rsid w:val="24306971"/>
    <w:rsid w:val="24634C9B"/>
    <w:rsid w:val="247203CD"/>
    <w:rsid w:val="24780C09"/>
    <w:rsid w:val="247E6EC4"/>
    <w:rsid w:val="247F5553"/>
    <w:rsid w:val="24802AEB"/>
    <w:rsid w:val="249466C2"/>
    <w:rsid w:val="24C15097"/>
    <w:rsid w:val="24D6552F"/>
    <w:rsid w:val="24F21778"/>
    <w:rsid w:val="24F368D2"/>
    <w:rsid w:val="24FF23ED"/>
    <w:rsid w:val="2503491C"/>
    <w:rsid w:val="2507409D"/>
    <w:rsid w:val="250C5A22"/>
    <w:rsid w:val="25261116"/>
    <w:rsid w:val="2527646C"/>
    <w:rsid w:val="252B0B2F"/>
    <w:rsid w:val="25421ED7"/>
    <w:rsid w:val="25455B71"/>
    <w:rsid w:val="25553D5A"/>
    <w:rsid w:val="255D7577"/>
    <w:rsid w:val="257536EA"/>
    <w:rsid w:val="259A7CFC"/>
    <w:rsid w:val="25A909BE"/>
    <w:rsid w:val="25BC5405"/>
    <w:rsid w:val="25D00843"/>
    <w:rsid w:val="25D34662"/>
    <w:rsid w:val="25E23D56"/>
    <w:rsid w:val="25E37277"/>
    <w:rsid w:val="260B672B"/>
    <w:rsid w:val="26181A76"/>
    <w:rsid w:val="261E0C47"/>
    <w:rsid w:val="26290FC4"/>
    <w:rsid w:val="263370F3"/>
    <w:rsid w:val="2641214D"/>
    <w:rsid w:val="26454E95"/>
    <w:rsid w:val="26515D0E"/>
    <w:rsid w:val="26690DCE"/>
    <w:rsid w:val="267F4C67"/>
    <w:rsid w:val="26881CBA"/>
    <w:rsid w:val="26887811"/>
    <w:rsid w:val="26905C26"/>
    <w:rsid w:val="26963B99"/>
    <w:rsid w:val="26B87E96"/>
    <w:rsid w:val="26CA2505"/>
    <w:rsid w:val="26E52AD8"/>
    <w:rsid w:val="26EF6FE6"/>
    <w:rsid w:val="27283E42"/>
    <w:rsid w:val="27400656"/>
    <w:rsid w:val="27510848"/>
    <w:rsid w:val="2755444C"/>
    <w:rsid w:val="27593D85"/>
    <w:rsid w:val="27606F7C"/>
    <w:rsid w:val="27631767"/>
    <w:rsid w:val="2770537D"/>
    <w:rsid w:val="27732ADC"/>
    <w:rsid w:val="27A179C1"/>
    <w:rsid w:val="27B12614"/>
    <w:rsid w:val="27B40D99"/>
    <w:rsid w:val="27BF63FF"/>
    <w:rsid w:val="27C05F04"/>
    <w:rsid w:val="27C97512"/>
    <w:rsid w:val="27D055D2"/>
    <w:rsid w:val="27E56813"/>
    <w:rsid w:val="27E94582"/>
    <w:rsid w:val="27FB0659"/>
    <w:rsid w:val="27FB29D7"/>
    <w:rsid w:val="27FB3404"/>
    <w:rsid w:val="27FD762F"/>
    <w:rsid w:val="28002F42"/>
    <w:rsid w:val="282F470C"/>
    <w:rsid w:val="282F5A30"/>
    <w:rsid w:val="284170A5"/>
    <w:rsid w:val="28553D30"/>
    <w:rsid w:val="28702875"/>
    <w:rsid w:val="28832E3E"/>
    <w:rsid w:val="289F72E8"/>
    <w:rsid w:val="28B74E11"/>
    <w:rsid w:val="28C251E1"/>
    <w:rsid w:val="28DB3A6A"/>
    <w:rsid w:val="28FE1B14"/>
    <w:rsid w:val="29230F78"/>
    <w:rsid w:val="292A2C02"/>
    <w:rsid w:val="29462C05"/>
    <w:rsid w:val="294C6F40"/>
    <w:rsid w:val="2950798C"/>
    <w:rsid w:val="295E4E98"/>
    <w:rsid w:val="29817ABC"/>
    <w:rsid w:val="29835A2A"/>
    <w:rsid w:val="29871D58"/>
    <w:rsid w:val="299E5345"/>
    <w:rsid w:val="29A82529"/>
    <w:rsid w:val="29AC0301"/>
    <w:rsid w:val="29AD2A43"/>
    <w:rsid w:val="29AE044B"/>
    <w:rsid w:val="29D67050"/>
    <w:rsid w:val="29D95866"/>
    <w:rsid w:val="29DE477C"/>
    <w:rsid w:val="29FF4CEC"/>
    <w:rsid w:val="2A151926"/>
    <w:rsid w:val="2A226B64"/>
    <w:rsid w:val="2A2669CE"/>
    <w:rsid w:val="2A2949D6"/>
    <w:rsid w:val="2A355E02"/>
    <w:rsid w:val="2A452FAE"/>
    <w:rsid w:val="2A5B2BD3"/>
    <w:rsid w:val="2A5B6DC2"/>
    <w:rsid w:val="2A677918"/>
    <w:rsid w:val="2A70739E"/>
    <w:rsid w:val="2A895E2A"/>
    <w:rsid w:val="2AA25896"/>
    <w:rsid w:val="2AB17E1C"/>
    <w:rsid w:val="2AF670C9"/>
    <w:rsid w:val="2B00474B"/>
    <w:rsid w:val="2B052A62"/>
    <w:rsid w:val="2B210C59"/>
    <w:rsid w:val="2B26258E"/>
    <w:rsid w:val="2B2B604D"/>
    <w:rsid w:val="2B2C2F94"/>
    <w:rsid w:val="2B2C6988"/>
    <w:rsid w:val="2B361F76"/>
    <w:rsid w:val="2B385681"/>
    <w:rsid w:val="2B461D3A"/>
    <w:rsid w:val="2B586383"/>
    <w:rsid w:val="2B897EA4"/>
    <w:rsid w:val="2B925751"/>
    <w:rsid w:val="2B940BBE"/>
    <w:rsid w:val="2BA758B4"/>
    <w:rsid w:val="2BA86854"/>
    <w:rsid w:val="2BB33E36"/>
    <w:rsid w:val="2BB3506F"/>
    <w:rsid w:val="2BBE229F"/>
    <w:rsid w:val="2BD33847"/>
    <w:rsid w:val="2C3C0564"/>
    <w:rsid w:val="2C401ABF"/>
    <w:rsid w:val="2C4B053F"/>
    <w:rsid w:val="2C4E5183"/>
    <w:rsid w:val="2C666839"/>
    <w:rsid w:val="2C7727ED"/>
    <w:rsid w:val="2C8E4BE0"/>
    <w:rsid w:val="2C8E77D0"/>
    <w:rsid w:val="2C9C06A7"/>
    <w:rsid w:val="2CAF5FA0"/>
    <w:rsid w:val="2CE11CAD"/>
    <w:rsid w:val="2CF20771"/>
    <w:rsid w:val="2CF267D2"/>
    <w:rsid w:val="2CF42830"/>
    <w:rsid w:val="2CF7053E"/>
    <w:rsid w:val="2CF9797A"/>
    <w:rsid w:val="2D04273A"/>
    <w:rsid w:val="2D2E060C"/>
    <w:rsid w:val="2D2F5FBF"/>
    <w:rsid w:val="2D43640B"/>
    <w:rsid w:val="2D465840"/>
    <w:rsid w:val="2D47467E"/>
    <w:rsid w:val="2D4F0BA6"/>
    <w:rsid w:val="2D5409B8"/>
    <w:rsid w:val="2D5D4F44"/>
    <w:rsid w:val="2D6142EE"/>
    <w:rsid w:val="2D6D2334"/>
    <w:rsid w:val="2D7310D1"/>
    <w:rsid w:val="2D7D30CB"/>
    <w:rsid w:val="2D877949"/>
    <w:rsid w:val="2D9275D0"/>
    <w:rsid w:val="2DAD7C0B"/>
    <w:rsid w:val="2DC85654"/>
    <w:rsid w:val="2DED62D1"/>
    <w:rsid w:val="2DFE4236"/>
    <w:rsid w:val="2E015C17"/>
    <w:rsid w:val="2E1C2393"/>
    <w:rsid w:val="2E2742A7"/>
    <w:rsid w:val="2E2B12E1"/>
    <w:rsid w:val="2E2C5D08"/>
    <w:rsid w:val="2E333266"/>
    <w:rsid w:val="2E342781"/>
    <w:rsid w:val="2E401856"/>
    <w:rsid w:val="2E4A04CC"/>
    <w:rsid w:val="2E52461F"/>
    <w:rsid w:val="2E6C3F1B"/>
    <w:rsid w:val="2E717A4E"/>
    <w:rsid w:val="2E792C03"/>
    <w:rsid w:val="2E833069"/>
    <w:rsid w:val="2E903C94"/>
    <w:rsid w:val="2E9E0410"/>
    <w:rsid w:val="2EA24B9D"/>
    <w:rsid w:val="2EC07DB7"/>
    <w:rsid w:val="2EC33912"/>
    <w:rsid w:val="2EC55C47"/>
    <w:rsid w:val="2EF82D19"/>
    <w:rsid w:val="2F242D0D"/>
    <w:rsid w:val="2F451459"/>
    <w:rsid w:val="2F4556D4"/>
    <w:rsid w:val="2F4B2F3F"/>
    <w:rsid w:val="2F500079"/>
    <w:rsid w:val="2F526AF5"/>
    <w:rsid w:val="2F5A3AFA"/>
    <w:rsid w:val="2F882B9B"/>
    <w:rsid w:val="2F8E7456"/>
    <w:rsid w:val="2F944885"/>
    <w:rsid w:val="2F9C180C"/>
    <w:rsid w:val="2FAE4963"/>
    <w:rsid w:val="2FB53218"/>
    <w:rsid w:val="2FE344C1"/>
    <w:rsid w:val="2FEE6AFD"/>
    <w:rsid w:val="30064375"/>
    <w:rsid w:val="301441F8"/>
    <w:rsid w:val="30295651"/>
    <w:rsid w:val="304F54B4"/>
    <w:rsid w:val="307F3F9D"/>
    <w:rsid w:val="308712AC"/>
    <w:rsid w:val="30DE5B87"/>
    <w:rsid w:val="30E15969"/>
    <w:rsid w:val="30E4720F"/>
    <w:rsid w:val="30FC585F"/>
    <w:rsid w:val="31102E48"/>
    <w:rsid w:val="31335260"/>
    <w:rsid w:val="31384D03"/>
    <w:rsid w:val="316D3037"/>
    <w:rsid w:val="317115C4"/>
    <w:rsid w:val="31725924"/>
    <w:rsid w:val="317805E9"/>
    <w:rsid w:val="318E7586"/>
    <w:rsid w:val="31A276DE"/>
    <w:rsid w:val="31AF440F"/>
    <w:rsid w:val="31BD26C2"/>
    <w:rsid w:val="31C938A0"/>
    <w:rsid w:val="31DC0F7C"/>
    <w:rsid w:val="31DD6E83"/>
    <w:rsid w:val="320C13A9"/>
    <w:rsid w:val="320F6AF0"/>
    <w:rsid w:val="3213181C"/>
    <w:rsid w:val="321C595F"/>
    <w:rsid w:val="322A7C91"/>
    <w:rsid w:val="32302312"/>
    <w:rsid w:val="323842DC"/>
    <w:rsid w:val="323A0CB8"/>
    <w:rsid w:val="325154D0"/>
    <w:rsid w:val="32525F9B"/>
    <w:rsid w:val="325E2AEF"/>
    <w:rsid w:val="32690A61"/>
    <w:rsid w:val="32707147"/>
    <w:rsid w:val="32713586"/>
    <w:rsid w:val="32827D75"/>
    <w:rsid w:val="32882697"/>
    <w:rsid w:val="32C607DF"/>
    <w:rsid w:val="32D02E82"/>
    <w:rsid w:val="32D1087A"/>
    <w:rsid w:val="32D67619"/>
    <w:rsid w:val="32DC1C7C"/>
    <w:rsid w:val="33215E93"/>
    <w:rsid w:val="332973A3"/>
    <w:rsid w:val="332E5BDE"/>
    <w:rsid w:val="332F296C"/>
    <w:rsid w:val="333B5D9B"/>
    <w:rsid w:val="333E311E"/>
    <w:rsid w:val="334D354E"/>
    <w:rsid w:val="3364671A"/>
    <w:rsid w:val="336F51AA"/>
    <w:rsid w:val="33855851"/>
    <w:rsid w:val="3388483E"/>
    <w:rsid w:val="33930FD4"/>
    <w:rsid w:val="3396070C"/>
    <w:rsid w:val="33B63B8F"/>
    <w:rsid w:val="33B76E25"/>
    <w:rsid w:val="33C10608"/>
    <w:rsid w:val="33CB3F35"/>
    <w:rsid w:val="33D278BF"/>
    <w:rsid w:val="33D56CFD"/>
    <w:rsid w:val="33D57FA7"/>
    <w:rsid w:val="33E16643"/>
    <w:rsid w:val="33E33D6E"/>
    <w:rsid w:val="33EA2A65"/>
    <w:rsid w:val="33F7209D"/>
    <w:rsid w:val="34062A7D"/>
    <w:rsid w:val="341375A2"/>
    <w:rsid w:val="34146A6C"/>
    <w:rsid w:val="34231A59"/>
    <w:rsid w:val="342B336F"/>
    <w:rsid w:val="34660EEF"/>
    <w:rsid w:val="348D4E30"/>
    <w:rsid w:val="348F6F52"/>
    <w:rsid w:val="34984A9C"/>
    <w:rsid w:val="349B2954"/>
    <w:rsid w:val="34A43828"/>
    <w:rsid w:val="34AE726E"/>
    <w:rsid w:val="34AF2AEC"/>
    <w:rsid w:val="34B150FF"/>
    <w:rsid w:val="34E90AD2"/>
    <w:rsid w:val="34F4284F"/>
    <w:rsid w:val="35004F81"/>
    <w:rsid w:val="350D4C11"/>
    <w:rsid w:val="35221F47"/>
    <w:rsid w:val="352464B9"/>
    <w:rsid w:val="35441313"/>
    <w:rsid w:val="3555083B"/>
    <w:rsid w:val="35642C48"/>
    <w:rsid w:val="358B1461"/>
    <w:rsid w:val="359D7382"/>
    <w:rsid w:val="359E5E3B"/>
    <w:rsid w:val="359F69E3"/>
    <w:rsid w:val="35C74A1C"/>
    <w:rsid w:val="35C93B01"/>
    <w:rsid w:val="35D13DDA"/>
    <w:rsid w:val="35D6013B"/>
    <w:rsid w:val="35D71AC4"/>
    <w:rsid w:val="35E73FC5"/>
    <w:rsid w:val="35E901B4"/>
    <w:rsid w:val="35EC20A5"/>
    <w:rsid w:val="35F51CFC"/>
    <w:rsid w:val="35FA74C5"/>
    <w:rsid w:val="363706B5"/>
    <w:rsid w:val="3638023B"/>
    <w:rsid w:val="36506C17"/>
    <w:rsid w:val="36515440"/>
    <w:rsid w:val="365928C6"/>
    <w:rsid w:val="365B1900"/>
    <w:rsid w:val="366172EF"/>
    <w:rsid w:val="36634930"/>
    <w:rsid w:val="36647085"/>
    <w:rsid w:val="368E1A73"/>
    <w:rsid w:val="36927401"/>
    <w:rsid w:val="36A71B58"/>
    <w:rsid w:val="36BA6413"/>
    <w:rsid w:val="36CB7880"/>
    <w:rsid w:val="36F35304"/>
    <w:rsid w:val="3708327C"/>
    <w:rsid w:val="372C393D"/>
    <w:rsid w:val="372D5730"/>
    <w:rsid w:val="37412AB6"/>
    <w:rsid w:val="37445E4C"/>
    <w:rsid w:val="3771537C"/>
    <w:rsid w:val="377471EC"/>
    <w:rsid w:val="37790915"/>
    <w:rsid w:val="37A13427"/>
    <w:rsid w:val="37A41F47"/>
    <w:rsid w:val="37CA3FBA"/>
    <w:rsid w:val="37CC2974"/>
    <w:rsid w:val="37CF5E4A"/>
    <w:rsid w:val="37DD1E72"/>
    <w:rsid w:val="37DF210D"/>
    <w:rsid w:val="37EA41BB"/>
    <w:rsid w:val="38121B63"/>
    <w:rsid w:val="381878D6"/>
    <w:rsid w:val="3820359D"/>
    <w:rsid w:val="3827174D"/>
    <w:rsid w:val="384358B1"/>
    <w:rsid w:val="384F5672"/>
    <w:rsid w:val="385A5695"/>
    <w:rsid w:val="38756AF8"/>
    <w:rsid w:val="387B633B"/>
    <w:rsid w:val="387E4347"/>
    <w:rsid w:val="387E742B"/>
    <w:rsid w:val="388767C1"/>
    <w:rsid w:val="389867C0"/>
    <w:rsid w:val="389945C1"/>
    <w:rsid w:val="38AB4762"/>
    <w:rsid w:val="38B21FE7"/>
    <w:rsid w:val="38C37F86"/>
    <w:rsid w:val="390F4234"/>
    <w:rsid w:val="39181399"/>
    <w:rsid w:val="39202096"/>
    <w:rsid w:val="393249BB"/>
    <w:rsid w:val="39366BE6"/>
    <w:rsid w:val="39377544"/>
    <w:rsid w:val="394D7E22"/>
    <w:rsid w:val="39781919"/>
    <w:rsid w:val="397D64A5"/>
    <w:rsid w:val="399A3815"/>
    <w:rsid w:val="39A743C8"/>
    <w:rsid w:val="39AA4E8C"/>
    <w:rsid w:val="39B157C5"/>
    <w:rsid w:val="39B20F40"/>
    <w:rsid w:val="39B61C2B"/>
    <w:rsid w:val="39BC6402"/>
    <w:rsid w:val="39D43AEA"/>
    <w:rsid w:val="39D776C2"/>
    <w:rsid w:val="39DA531E"/>
    <w:rsid w:val="39DF33EE"/>
    <w:rsid w:val="39EA4486"/>
    <w:rsid w:val="3A0C5F56"/>
    <w:rsid w:val="3A173499"/>
    <w:rsid w:val="3A1863BC"/>
    <w:rsid w:val="3A1C3BB0"/>
    <w:rsid w:val="3A2F1B06"/>
    <w:rsid w:val="3A4326BE"/>
    <w:rsid w:val="3A4A66F9"/>
    <w:rsid w:val="3A552C46"/>
    <w:rsid w:val="3A894FFB"/>
    <w:rsid w:val="3AD33E4F"/>
    <w:rsid w:val="3AFF2CF8"/>
    <w:rsid w:val="3B205058"/>
    <w:rsid w:val="3B2629E9"/>
    <w:rsid w:val="3B274F34"/>
    <w:rsid w:val="3B2F1083"/>
    <w:rsid w:val="3B4972AF"/>
    <w:rsid w:val="3B544790"/>
    <w:rsid w:val="3B5F34B4"/>
    <w:rsid w:val="3B8706E3"/>
    <w:rsid w:val="3B911372"/>
    <w:rsid w:val="3B99044C"/>
    <w:rsid w:val="3B9A7DEA"/>
    <w:rsid w:val="3BA45F4B"/>
    <w:rsid w:val="3BAC736A"/>
    <w:rsid w:val="3BB353F9"/>
    <w:rsid w:val="3BB841C3"/>
    <w:rsid w:val="3BC85A43"/>
    <w:rsid w:val="3C0016DC"/>
    <w:rsid w:val="3C04486C"/>
    <w:rsid w:val="3C0C16FC"/>
    <w:rsid w:val="3C0E13A9"/>
    <w:rsid w:val="3C141158"/>
    <w:rsid w:val="3C1810C7"/>
    <w:rsid w:val="3C1A5E08"/>
    <w:rsid w:val="3C1C0091"/>
    <w:rsid w:val="3C215891"/>
    <w:rsid w:val="3C260246"/>
    <w:rsid w:val="3C662D06"/>
    <w:rsid w:val="3C664263"/>
    <w:rsid w:val="3C680F25"/>
    <w:rsid w:val="3C681416"/>
    <w:rsid w:val="3C7063BD"/>
    <w:rsid w:val="3C8E4041"/>
    <w:rsid w:val="3CA32F70"/>
    <w:rsid w:val="3CBC046A"/>
    <w:rsid w:val="3CBD2183"/>
    <w:rsid w:val="3CC93E5B"/>
    <w:rsid w:val="3CCB589D"/>
    <w:rsid w:val="3CD3293D"/>
    <w:rsid w:val="3CDF6F05"/>
    <w:rsid w:val="3CEB5391"/>
    <w:rsid w:val="3CF76209"/>
    <w:rsid w:val="3D1568AC"/>
    <w:rsid w:val="3D1A1F53"/>
    <w:rsid w:val="3D226823"/>
    <w:rsid w:val="3D3E53B8"/>
    <w:rsid w:val="3D451EE7"/>
    <w:rsid w:val="3D5D43E5"/>
    <w:rsid w:val="3D7F6BEF"/>
    <w:rsid w:val="3D8E21C9"/>
    <w:rsid w:val="3D8E3861"/>
    <w:rsid w:val="3DD07DA6"/>
    <w:rsid w:val="3DE041A5"/>
    <w:rsid w:val="3DFF671E"/>
    <w:rsid w:val="3E0241B2"/>
    <w:rsid w:val="3E1504C5"/>
    <w:rsid w:val="3E2D4590"/>
    <w:rsid w:val="3E356945"/>
    <w:rsid w:val="3E3907D3"/>
    <w:rsid w:val="3E4167AE"/>
    <w:rsid w:val="3E4D375B"/>
    <w:rsid w:val="3E734A16"/>
    <w:rsid w:val="3E910BC1"/>
    <w:rsid w:val="3E9E08AA"/>
    <w:rsid w:val="3ECA7E3B"/>
    <w:rsid w:val="3EEF5B20"/>
    <w:rsid w:val="3F0616D6"/>
    <w:rsid w:val="3F087AA3"/>
    <w:rsid w:val="3F15460F"/>
    <w:rsid w:val="3F1C4B7C"/>
    <w:rsid w:val="3F2E10DC"/>
    <w:rsid w:val="3F367F1D"/>
    <w:rsid w:val="3F39149C"/>
    <w:rsid w:val="3F607735"/>
    <w:rsid w:val="3F607E71"/>
    <w:rsid w:val="3F6E4A81"/>
    <w:rsid w:val="3F794025"/>
    <w:rsid w:val="3F9134AF"/>
    <w:rsid w:val="3FAA60CA"/>
    <w:rsid w:val="3FC41C15"/>
    <w:rsid w:val="3FCD759E"/>
    <w:rsid w:val="3FD7644B"/>
    <w:rsid w:val="3FDB675F"/>
    <w:rsid w:val="3FF41193"/>
    <w:rsid w:val="3FF56BD6"/>
    <w:rsid w:val="40022BA6"/>
    <w:rsid w:val="400A571D"/>
    <w:rsid w:val="402B049E"/>
    <w:rsid w:val="402E5E62"/>
    <w:rsid w:val="403745B3"/>
    <w:rsid w:val="4043618D"/>
    <w:rsid w:val="40574A78"/>
    <w:rsid w:val="40626DBC"/>
    <w:rsid w:val="40630B19"/>
    <w:rsid w:val="40632740"/>
    <w:rsid w:val="406F4B87"/>
    <w:rsid w:val="407911EB"/>
    <w:rsid w:val="407C6298"/>
    <w:rsid w:val="408E058C"/>
    <w:rsid w:val="40C819FC"/>
    <w:rsid w:val="40D479EE"/>
    <w:rsid w:val="40DC4595"/>
    <w:rsid w:val="40DD1BDA"/>
    <w:rsid w:val="40E121BA"/>
    <w:rsid w:val="40F2256A"/>
    <w:rsid w:val="411B3F97"/>
    <w:rsid w:val="4122777A"/>
    <w:rsid w:val="41493688"/>
    <w:rsid w:val="4159404B"/>
    <w:rsid w:val="415F2443"/>
    <w:rsid w:val="417118DA"/>
    <w:rsid w:val="41914585"/>
    <w:rsid w:val="419665CB"/>
    <w:rsid w:val="41970F22"/>
    <w:rsid w:val="41AD4D43"/>
    <w:rsid w:val="41AE5031"/>
    <w:rsid w:val="41B74E56"/>
    <w:rsid w:val="41C71A9F"/>
    <w:rsid w:val="41D81109"/>
    <w:rsid w:val="41EE6C14"/>
    <w:rsid w:val="41F25173"/>
    <w:rsid w:val="41F70EC6"/>
    <w:rsid w:val="42026AD3"/>
    <w:rsid w:val="42067945"/>
    <w:rsid w:val="42113513"/>
    <w:rsid w:val="42223230"/>
    <w:rsid w:val="422B4A1F"/>
    <w:rsid w:val="42367AC3"/>
    <w:rsid w:val="424D3F6C"/>
    <w:rsid w:val="4256190E"/>
    <w:rsid w:val="427A2A82"/>
    <w:rsid w:val="42817701"/>
    <w:rsid w:val="4291093B"/>
    <w:rsid w:val="42964B07"/>
    <w:rsid w:val="42AB59E4"/>
    <w:rsid w:val="42BD6CFD"/>
    <w:rsid w:val="42C003F5"/>
    <w:rsid w:val="42C448C2"/>
    <w:rsid w:val="42E35C0D"/>
    <w:rsid w:val="42E976D3"/>
    <w:rsid w:val="430B2C0A"/>
    <w:rsid w:val="430C2E14"/>
    <w:rsid w:val="43420DF9"/>
    <w:rsid w:val="434321FD"/>
    <w:rsid w:val="434602F9"/>
    <w:rsid w:val="43630902"/>
    <w:rsid w:val="436628D9"/>
    <w:rsid w:val="436F0171"/>
    <w:rsid w:val="4376088D"/>
    <w:rsid w:val="437E518D"/>
    <w:rsid w:val="438B57D4"/>
    <w:rsid w:val="43931A3D"/>
    <w:rsid w:val="4398459C"/>
    <w:rsid w:val="43C436CB"/>
    <w:rsid w:val="43DE2000"/>
    <w:rsid w:val="43E42CFD"/>
    <w:rsid w:val="43EC5D54"/>
    <w:rsid w:val="43F14B01"/>
    <w:rsid w:val="43F63857"/>
    <w:rsid w:val="43F76724"/>
    <w:rsid w:val="4404103A"/>
    <w:rsid w:val="44046F3B"/>
    <w:rsid w:val="440B4A8F"/>
    <w:rsid w:val="440C0F13"/>
    <w:rsid w:val="44244E28"/>
    <w:rsid w:val="4437539A"/>
    <w:rsid w:val="443829FE"/>
    <w:rsid w:val="443B7B34"/>
    <w:rsid w:val="44411DC5"/>
    <w:rsid w:val="444142E5"/>
    <w:rsid w:val="446847C3"/>
    <w:rsid w:val="4473537E"/>
    <w:rsid w:val="447C5C8F"/>
    <w:rsid w:val="44880359"/>
    <w:rsid w:val="448F4790"/>
    <w:rsid w:val="449572DE"/>
    <w:rsid w:val="44965992"/>
    <w:rsid w:val="44B0719C"/>
    <w:rsid w:val="44CE0173"/>
    <w:rsid w:val="44DA759D"/>
    <w:rsid w:val="45107FF9"/>
    <w:rsid w:val="45156970"/>
    <w:rsid w:val="451D0E3D"/>
    <w:rsid w:val="453968F9"/>
    <w:rsid w:val="455533FD"/>
    <w:rsid w:val="455E3D2A"/>
    <w:rsid w:val="45733B31"/>
    <w:rsid w:val="45796DB6"/>
    <w:rsid w:val="457C4847"/>
    <w:rsid w:val="4585575A"/>
    <w:rsid w:val="459A4A0D"/>
    <w:rsid w:val="45AD2F03"/>
    <w:rsid w:val="45B46040"/>
    <w:rsid w:val="45BE53B1"/>
    <w:rsid w:val="45D0719B"/>
    <w:rsid w:val="45D10BE8"/>
    <w:rsid w:val="45D17D51"/>
    <w:rsid w:val="45D84801"/>
    <w:rsid w:val="45D84C13"/>
    <w:rsid w:val="45DB537A"/>
    <w:rsid w:val="45F079A9"/>
    <w:rsid w:val="45FE4B02"/>
    <w:rsid w:val="460E38A0"/>
    <w:rsid w:val="4611615D"/>
    <w:rsid w:val="46233C0B"/>
    <w:rsid w:val="464C6804"/>
    <w:rsid w:val="46505516"/>
    <w:rsid w:val="4654328B"/>
    <w:rsid w:val="46552394"/>
    <w:rsid w:val="466914A0"/>
    <w:rsid w:val="467E26C1"/>
    <w:rsid w:val="46826F44"/>
    <w:rsid w:val="468B2AD0"/>
    <w:rsid w:val="46965B6F"/>
    <w:rsid w:val="46AF5D7F"/>
    <w:rsid w:val="46BB08B7"/>
    <w:rsid w:val="46C77ABD"/>
    <w:rsid w:val="46CE1A2B"/>
    <w:rsid w:val="46E26C38"/>
    <w:rsid w:val="46F33760"/>
    <w:rsid w:val="46F63FC3"/>
    <w:rsid w:val="47166543"/>
    <w:rsid w:val="47251517"/>
    <w:rsid w:val="472B40E0"/>
    <w:rsid w:val="473905AF"/>
    <w:rsid w:val="473C7993"/>
    <w:rsid w:val="47405A24"/>
    <w:rsid w:val="474A7906"/>
    <w:rsid w:val="47670FE3"/>
    <w:rsid w:val="477C525C"/>
    <w:rsid w:val="47A4555B"/>
    <w:rsid w:val="47D63884"/>
    <w:rsid w:val="47DD0DC5"/>
    <w:rsid w:val="47F25B78"/>
    <w:rsid w:val="480D0F1A"/>
    <w:rsid w:val="48163B24"/>
    <w:rsid w:val="482F1D2B"/>
    <w:rsid w:val="483036E4"/>
    <w:rsid w:val="484364DA"/>
    <w:rsid w:val="4856133A"/>
    <w:rsid w:val="48627260"/>
    <w:rsid w:val="488B3DE5"/>
    <w:rsid w:val="489B2E97"/>
    <w:rsid w:val="48A4637B"/>
    <w:rsid w:val="48A50D9C"/>
    <w:rsid w:val="48B645E7"/>
    <w:rsid w:val="48C62390"/>
    <w:rsid w:val="48E62D28"/>
    <w:rsid w:val="48EE6DB8"/>
    <w:rsid w:val="48F50332"/>
    <w:rsid w:val="49145B49"/>
    <w:rsid w:val="492424E6"/>
    <w:rsid w:val="49270057"/>
    <w:rsid w:val="492707FF"/>
    <w:rsid w:val="49320471"/>
    <w:rsid w:val="495E547B"/>
    <w:rsid w:val="498C2CC6"/>
    <w:rsid w:val="49901F50"/>
    <w:rsid w:val="49922562"/>
    <w:rsid w:val="499A18DF"/>
    <w:rsid w:val="499E5C13"/>
    <w:rsid w:val="49B32D55"/>
    <w:rsid w:val="49B77C03"/>
    <w:rsid w:val="49BE28B3"/>
    <w:rsid w:val="49DB607F"/>
    <w:rsid w:val="49E44D0F"/>
    <w:rsid w:val="49E711D3"/>
    <w:rsid w:val="4A1D7FD7"/>
    <w:rsid w:val="4A3F1BC2"/>
    <w:rsid w:val="4A4449EB"/>
    <w:rsid w:val="4A4C74D7"/>
    <w:rsid w:val="4A630C8D"/>
    <w:rsid w:val="4A7B3D20"/>
    <w:rsid w:val="4A7B5819"/>
    <w:rsid w:val="4A864C94"/>
    <w:rsid w:val="4A9122CC"/>
    <w:rsid w:val="4A9E4F29"/>
    <w:rsid w:val="4AA53A6D"/>
    <w:rsid w:val="4ABB12E3"/>
    <w:rsid w:val="4AC70607"/>
    <w:rsid w:val="4AD73910"/>
    <w:rsid w:val="4ADA20A4"/>
    <w:rsid w:val="4AEC105F"/>
    <w:rsid w:val="4AEC1A34"/>
    <w:rsid w:val="4B084172"/>
    <w:rsid w:val="4B163AF3"/>
    <w:rsid w:val="4B170C4E"/>
    <w:rsid w:val="4B3B4CC2"/>
    <w:rsid w:val="4B3B5060"/>
    <w:rsid w:val="4B505E9D"/>
    <w:rsid w:val="4B5064AC"/>
    <w:rsid w:val="4B775B45"/>
    <w:rsid w:val="4B7A1D03"/>
    <w:rsid w:val="4B857AFA"/>
    <w:rsid w:val="4B8E276A"/>
    <w:rsid w:val="4B8E3E05"/>
    <w:rsid w:val="4B9322DC"/>
    <w:rsid w:val="4B9A36B6"/>
    <w:rsid w:val="4BA96F99"/>
    <w:rsid w:val="4BAE615B"/>
    <w:rsid w:val="4BBF05F5"/>
    <w:rsid w:val="4BC05AFB"/>
    <w:rsid w:val="4BC1411E"/>
    <w:rsid w:val="4BC7017C"/>
    <w:rsid w:val="4BFA552E"/>
    <w:rsid w:val="4C121C48"/>
    <w:rsid w:val="4C344A55"/>
    <w:rsid w:val="4C3C6308"/>
    <w:rsid w:val="4C474875"/>
    <w:rsid w:val="4C665F78"/>
    <w:rsid w:val="4C6C1422"/>
    <w:rsid w:val="4C6D7690"/>
    <w:rsid w:val="4C7544BD"/>
    <w:rsid w:val="4C830714"/>
    <w:rsid w:val="4C8E3BF7"/>
    <w:rsid w:val="4C92075D"/>
    <w:rsid w:val="4CA00A7D"/>
    <w:rsid w:val="4CB0636D"/>
    <w:rsid w:val="4CB15ADC"/>
    <w:rsid w:val="4CC04BE0"/>
    <w:rsid w:val="4CC90F78"/>
    <w:rsid w:val="4CE724B2"/>
    <w:rsid w:val="4CE810E2"/>
    <w:rsid w:val="4D263978"/>
    <w:rsid w:val="4D2A7340"/>
    <w:rsid w:val="4D66003C"/>
    <w:rsid w:val="4D6A7FC8"/>
    <w:rsid w:val="4D8A5D63"/>
    <w:rsid w:val="4D921C33"/>
    <w:rsid w:val="4DAB3C13"/>
    <w:rsid w:val="4DAE5E6F"/>
    <w:rsid w:val="4DB57E2F"/>
    <w:rsid w:val="4DB96C8C"/>
    <w:rsid w:val="4DC9796B"/>
    <w:rsid w:val="4DD475F8"/>
    <w:rsid w:val="4DD56CC9"/>
    <w:rsid w:val="4DDB7493"/>
    <w:rsid w:val="4DE80C67"/>
    <w:rsid w:val="4DF3431D"/>
    <w:rsid w:val="4DFE4F8C"/>
    <w:rsid w:val="4E0353EF"/>
    <w:rsid w:val="4E0359F9"/>
    <w:rsid w:val="4E0A6276"/>
    <w:rsid w:val="4E383EB9"/>
    <w:rsid w:val="4E3D6A2C"/>
    <w:rsid w:val="4E421133"/>
    <w:rsid w:val="4E452FE6"/>
    <w:rsid w:val="4E4E4F9E"/>
    <w:rsid w:val="4E5422AE"/>
    <w:rsid w:val="4E5527B1"/>
    <w:rsid w:val="4E8E1BBD"/>
    <w:rsid w:val="4E9565B9"/>
    <w:rsid w:val="4EA56786"/>
    <w:rsid w:val="4EAB3EAE"/>
    <w:rsid w:val="4EB510FD"/>
    <w:rsid w:val="4EC6688E"/>
    <w:rsid w:val="4ECA2B2D"/>
    <w:rsid w:val="4EE83613"/>
    <w:rsid w:val="4EF71532"/>
    <w:rsid w:val="4F0537A8"/>
    <w:rsid w:val="4F2946F0"/>
    <w:rsid w:val="4F765230"/>
    <w:rsid w:val="4F832C97"/>
    <w:rsid w:val="4F844467"/>
    <w:rsid w:val="4F8F4527"/>
    <w:rsid w:val="4F922A08"/>
    <w:rsid w:val="4FA41DA3"/>
    <w:rsid w:val="4FAC442B"/>
    <w:rsid w:val="4FB945F7"/>
    <w:rsid w:val="4FCC0035"/>
    <w:rsid w:val="4FCE6A7C"/>
    <w:rsid w:val="4FD33AA4"/>
    <w:rsid w:val="4FEC4ADF"/>
    <w:rsid w:val="4FF11483"/>
    <w:rsid w:val="4FF27771"/>
    <w:rsid w:val="4FF80B55"/>
    <w:rsid w:val="500100D3"/>
    <w:rsid w:val="5005629D"/>
    <w:rsid w:val="500951DA"/>
    <w:rsid w:val="50135A20"/>
    <w:rsid w:val="501558E0"/>
    <w:rsid w:val="502B4701"/>
    <w:rsid w:val="505B5376"/>
    <w:rsid w:val="505C6EFD"/>
    <w:rsid w:val="505D1EC2"/>
    <w:rsid w:val="50681B1D"/>
    <w:rsid w:val="50704923"/>
    <w:rsid w:val="50762EB5"/>
    <w:rsid w:val="50B86D4E"/>
    <w:rsid w:val="50CA626F"/>
    <w:rsid w:val="50CD4525"/>
    <w:rsid w:val="50CE292D"/>
    <w:rsid w:val="50D101E7"/>
    <w:rsid w:val="50D5370F"/>
    <w:rsid w:val="50E10994"/>
    <w:rsid w:val="50E654CC"/>
    <w:rsid w:val="50EA322D"/>
    <w:rsid w:val="50EC65D8"/>
    <w:rsid w:val="50ED6674"/>
    <w:rsid w:val="50EE58B7"/>
    <w:rsid w:val="50F641A6"/>
    <w:rsid w:val="50FC2DD6"/>
    <w:rsid w:val="511739C6"/>
    <w:rsid w:val="512E7B91"/>
    <w:rsid w:val="51511152"/>
    <w:rsid w:val="515D45E5"/>
    <w:rsid w:val="515E0D1B"/>
    <w:rsid w:val="516C6722"/>
    <w:rsid w:val="51842727"/>
    <w:rsid w:val="51871E97"/>
    <w:rsid w:val="51915D9B"/>
    <w:rsid w:val="519B4E25"/>
    <w:rsid w:val="51A91264"/>
    <w:rsid w:val="51BB06FF"/>
    <w:rsid w:val="51D50119"/>
    <w:rsid w:val="51F6796E"/>
    <w:rsid w:val="521600E1"/>
    <w:rsid w:val="5218241A"/>
    <w:rsid w:val="5224628E"/>
    <w:rsid w:val="522A38A9"/>
    <w:rsid w:val="5237266C"/>
    <w:rsid w:val="523F506F"/>
    <w:rsid w:val="525D0D98"/>
    <w:rsid w:val="526A407F"/>
    <w:rsid w:val="528374B3"/>
    <w:rsid w:val="52945D0C"/>
    <w:rsid w:val="52B26444"/>
    <w:rsid w:val="52E23E74"/>
    <w:rsid w:val="53090AB8"/>
    <w:rsid w:val="530A729F"/>
    <w:rsid w:val="531129A8"/>
    <w:rsid w:val="531A2FDA"/>
    <w:rsid w:val="531E2E5D"/>
    <w:rsid w:val="532B16F7"/>
    <w:rsid w:val="53402F01"/>
    <w:rsid w:val="534D343F"/>
    <w:rsid w:val="534E4835"/>
    <w:rsid w:val="538A1154"/>
    <w:rsid w:val="538A2C44"/>
    <w:rsid w:val="5390227D"/>
    <w:rsid w:val="53A76E88"/>
    <w:rsid w:val="53B72EDE"/>
    <w:rsid w:val="53BF0BD8"/>
    <w:rsid w:val="53D24530"/>
    <w:rsid w:val="540B3BB1"/>
    <w:rsid w:val="540C7DA3"/>
    <w:rsid w:val="54104165"/>
    <w:rsid w:val="542F581C"/>
    <w:rsid w:val="545A2F03"/>
    <w:rsid w:val="545C0464"/>
    <w:rsid w:val="546A4CB3"/>
    <w:rsid w:val="546C7A37"/>
    <w:rsid w:val="546E0C2D"/>
    <w:rsid w:val="546E3F6D"/>
    <w:rsid w:val="54A25BAA"/>
    <w:rsid w:val="54D667D3"/>
    <w:rsid w:val="551E5D07"/>
    <w:rsid w:val="552035F3"/>
    <w:rsid w:val="553A1ABA"/>
    <w:rsid w:val="55444446"/>
    <w:rsid w:val="554710DF"/>
    <w:rsid w:val="55526DBF"/>
    <w:rsid w:val="55546AE6"/>
    <w:rsid w:val="556855E8"/>
    <w:rsid w:val="55721747"/>
    <w:rsid w:val="557700B6"/>
    <w:rsid w:val="557B0BDF"/>
    <w:rsid w:val="55957CF2"/>
    <w:rsid w:val="5596243D"/>
    <w:rsid w:val="55C10EFF"/>
    <w:rsid w:val="55D11B8D"/>
    <w:rsid w:val="55D13332"/>
    <w:rsid w:val="55E13E2E"/>
    <w:rsid w:val="55E21A96"/>
    <w:rsid w:val="560266B8"/>
    <w:rsid w:val="56077076"/>
    <w:rsid w:val="560B70BA"/>
    <w:rsid w:val="56105337"/>
    <w:rsid w:val="563052F5"/>
    <w:rsid w:val="56427603"/>
    <w:rsid w:val="566D521C"/>
    <w:rsid w:val="567C1E1C"/>
    <w:rsid w:val="567C2970"/>
    <w:rsid w:val="568236B0"/>
    <w:rsid w:val="568C4E72"/>
    <w:rsid w:val="568C600F"/>
    <w:rsid w:val="569220FF"/>
    <w:rsid w:val="56AE74FD"/>
    <w:rsid w:val="56C722BE"/>
    <w:rsid w:val="56CA461E"/>
    <w:rsid w:val="56E5032D"/>
    <w:rsid w:val="56FC02DB"/>
    <w:rsid w:val="570572D0"/>
    <w:rsid w:val="570A4CC9"/>
    <w:rsid w:val="574C257C"/>
    <w:rsid w:val="574D3097"/>
    <w:rsid w:val="578E4145"/>
    <w:rsid w:val="57A03C26"/>
    <w:rsid w:val="57B2633C"/>
    <w:rsid w:val="57BC7A8F"/>
    <w:rsid w:val="57D32B46"/>
    <w:rsid w:val="57E34318"/>
    <w:rsid w:val="57F70612"/>
    <w:rsid w:val="580834F6"/>
    <w:rsid w:val="58230AF3"/>
    <w:rsid w:val="58241D99"/>
    <w:rsid w:val="58344BFB"/>
    <w:rsid w:val="583620F2"/>
    <w:rsid w:val="585C5972"/>
    <w:rsid w:val="587054EB"/>
    <w:rsid w:val="58723C0F"/>
    <w:rsid w:val="587D03C8"/>
    <w:rsid w:val="588826C3"/>
    <w:rsid w:val="5890344D"/>
    <w:rsid w:val="58925DCB"/>
    <w:rsid w:val="58A34E81"/>
    <w:rsid w:val="58AF5F5A"/>
    <w:rsid w:val="58B80626"/>
    <w:rsid w:val="58CA533E"/>
    <w:rsid w:val="58CC50C4"/>
    <w:rsid w:val="591C2A67"/>
    <w:rsid w:val="592769C9"/>
    <w:rsid w:val="5940006F"/>
    <w:rsid w:val="594022E5"/>
    <w:rsid w:val="59566B99"/>
    <w:rsid w:val="59572969"/>
    <w:rsid w:val="59727F78"/>
    <w:rsid w:val="5977173A"/>
    <w:rsid w:val="59854B01"/>
    <w:rsid w:val="59887A01"/>
    <w:rsid w:val="59911481"/>
    <w:rsid w:val="59A20829"/>
    <w:rsid w:val="59AE4975"/>
    <w:rsid w:val="59B77DC0"/>
    <w:rsid w:val="59D94A66"/>
    <w:rsid w:val="59E6062E"/>
    <w:rsid w:val="59F13DF2"/>
    <w:rsid w:val="59F436A3"/>
    <w:rsid w:val="5A3D61DC"/>
    <w:rsid w:val="5A48675D"/>
    <w:rsid w:val="5A600826"/>
    <w:rsid w:val="5A6B3DAB"/>
    <w:rsid w:val="5A6C609F"/>
    <w:rsid w:val="5A8770D5"/>
    <w:rsid w:val="5A993A69"/>
    <w:rsid w:val="5AAD3E7F"/>
    <w:rsid w:val="5AC574CC"/>
    <w:rsid w:val="5ADF6AF1"/>
    <w:rsid w:val="5B0A3009"/>
    <w:rsid w:val="5B0B3E8F"/>
    <w:rsid w:val="5B444560"/>
    <w:rsid w:val="5B636134"/>
    <w:rsid w:val="5B6A1223"/>
    <w:rsid w:val="5B6D2BC8"/>
    <w:rsid w:val="5B901A7B"/>
    <w:rsid w:val="5B940576"/>
    <w:rsid w:val="5B9D5C97"/>
    <w:rsid w:val="5BB55083"/>
    <w:rsid w:val="5BBC38A8"/>
    <w:rsid w:val="5BC13AAB"/>
    <w:rsid w:val="5BCB3E8A"/>
    <w:rsid w:val="5BE64B10"/>
    <w:rsid w:val="5BE85057"/>
    <w:rsid w:val="5BEA40CB"/>
    <w:rsid w:val="5BEA637C"/>
    <w:rsid w:val="5BEF1175"/>
    <w:rsid w:val="5BFD0F4C"/>
    <w:rsid w:val="5C0B7D0E"/>
    <w:rsid w:val="5C104C21"/>
    <w:rsid w:val="5C1A1954"/>
    <w:rsid w:val="5C2D2274"/>
    <w:rsid w:val="5C3D367D"/>
    <w:rsid w:val="5C4C7324"/>
    <w:rsid w:val="5C733149"/>
    <w:rsid w:val="5C7D6D9F"/>
    <w:rsid w:val="5C826F91"/>
    <w:rsid w:val="5C8E4AF2"/>
    <w:rsid w:val="5C974299"/>
    <w:rsid w:val="5CBD34B2"/>
    <w:rsid w:val="5CBE466D"/>
    <w:rsid w:val="5CC56BAA"/>
    <w:rsid w:val="5CDE26FD"/>
    <w:rsid w:val="5CEA48C5"/>
    <w:rsid w:val="5CF22DD7"/>
    <w:rsid w:val="5CF6014C"/>
    <w:rsid w:val="5CF60CD7"/>
    <w:rsid w:val="5CFE7212"/>
    <w:rsid w:val="5D03166D"/>
    <w:rsid w:val="5D055F2B"/>
    <w:rsid w:val="5D06441B"/>
    <w:rsid w:val="5D147940"/>
    <w:rsid w:val="5D1A4582"/>
    <w:rsid w:val="5D1E64FC"/>
    <w:rsid w:val="5D270533"/>
    <w:rsid w:val="5D2B30FB"/>
    <w:rsid w:val="5D2D7E53"/>
    <w:rsid w:val="5D2E2CA7"/>
    <w:rsid w:val="5D3A5E53"/>
    <w:rsid w:val="5D3E3758"/>
    <w:rsid w:val="5D524F98"/>
    <w:rsid w:val="5D54430B"/>
    <w:rsid w:val="5D5609A0"/>
    <w:rsid w:val="5D5A6A9E"/>
    <w:rsid w:val="5D63545D"/>
    <w:rsid w:val="5D78103C"/>
    <w:rsid w:val="5D7920FD"/>
    <w:rsid w:val="5D916488"/>
    <w:rsid w:val="5DA429FC"/>
    <w:rsid w:val="5DB02858"/>
    <w:rsid w:val="5DBD53B7"/>
    <w:rsid w:val="5DBE7365"/>
    <w:rsid w:val="5DC100AB"/>
    <w:rsid w:val="5DF0318C"/>
    <w:rsid w:val="5DF83D43"/>
    <w:rsid w:val="5E0F15B6"/>
    <w:rsid w:val="5E1658BF"/>
    <w:rsid w:val="5E3033B1"/>
    <w:rsid w:val="5E466F4C"/>
    <w:rsid w:val="5E474011"/>
    <w:rsid w:val="5E4F644A"/>
    <w:rsid w:val="5E6974E8"/>
    <w:rsid w:val="5E7623B1"/>
    <w:rsid w:val="5E810463"/>
    <w:rsid w:val="5E8872A1"/>
    <w:rsid w:val="5E8E3B06"/>
    <w:rsid w:val="5EAB7AA0"/>
    <w:rsid w:val="5EAE4BFF"/>
    <w:rsid w:val="5EAE5F61"/>
    <w:rsid w:val="5EB65467"/>
    <w:rsid w:val="5EB67015"/>
    <w:rsid w:val="5EBC35E5"/>
    <w:rsid w:val="5EC42FEE"/>
    <w:rsid w:val="5EC50232"/>
    <w:rsid w:val="5ECD660C"/>
    <w:rsid w:val="5EEA4B90"/>
    <w:rsid w:val="5F0D138A"/>
    <w:rsid w:val="5F1A35D1"/>
    <w:rsid w:val="5F1D396D"/>
    <w:rsid w:val="5F353132"/>
    <w:rsid w:val="5F357C5E"/>
    <w:rsid w:val="5F585F21"/>
    <w:rsid w:val="5F616527"/>
    <w:rsid w:val="5F710DA4"/>
    <w:rsid w:val="5F727306"/>
    <w:rsid w:val="5F7A1890"/>
    <w:rsid w:val="5F7D2566"/>
    <w:rsid w:val="5F984709"/>
    <w:rsid w:val="5FA37560"/>
    <w:rsid w:val="5FA9411C"/>
    <w:rsid w:val="5FAC716E"/>
    <w:rsid w:val="5FB5240E"/>
    <w:rsid w:val="5FB7149D"/>
    <w:rsid w:val="5FBB3B21"/>
    <w:rsid w:val="5FE3735C"/>
    <w:rsid w:val="5FED717C"/>
    <w:rsid w:val="5FF23BF3"/>
    <w:rsid w:val="603943AB"/>
    <w:rsid w:val="60A777E1"/>
    <w:rsid w:val="60C54A4C"/>
    <w:rsid w:val="60D65B93"/>
    <w:rsid w:val="6102243B"/>
    <w:rsid w:val="610545F2"/>
    <w:rsid w:val="611051C1"/>
    <w:rsid w:val="612A4D9F"/>
    <w:rsid w:val="614E6A4F"/>
    <w:rsid w:val="614F5ED3"/>
    <w:rsid w:val="615029B0"/>
    <w:rsid w:val="61606BBC"/>
    <w:rsid w:val="616B0DA3"/>
    <w:rsid w:val="617952F9"/>
    <w:rsid w:val="618914B3"/>
    <w:rsid w:val="619024BD"/>
    <w:rsid w:val="61A17671"/>
    <w:rsid w:val="61A33C02"/>
    <w:rsid w:val="61A63D53"/>
    <w:rsid w:val="61B367C7"/>
    <w:rsid w:val="61CB12A1"/>
    <w:rsid w:val="61DE7AE6"/>
    <w:rsid w:val="61E26510"/>
    <w:rsid w:val="61E57A1C"/>
    <w:rsid w:val="61E72DB2"/>
    <w:rsid w:val="61E90475"/>
    <w:rsid w:val="61ED3BD3"/>
    <w:rsid w:val="61EE2544"/>
    <w:rsid w:val="61F104BC"/>
    <w:rsid w:val="62033359"/>
    <w:rsid w:val="621149F5"/>
    <w:rsid w:val="62124BAD"/>
    <w:rsid w:val="623F67C5"/>
    <w:rsid w:val="624C146D"/>
    <w:rsid w:val="625A7CEE"/>
    <w:rsid w:val="627B39D4"/>
    <w:rsid w:val="62850DEF"/>
    <w:rsid w:val="629D117F"/>
    <w:rsid w:val="62B62F9F"/>
    <w:rsid w:val="62C56AA2"/>
    <w:rsid w:val="62C64083"/>
    <w:rsid w:val="62CC5F34"/>
    <w:rsid w:val="62E23056"/>
    <w:rsid w:val="62E653EA"/>
    <w:rsid w:val="62EE2DF7"/>
    <w:rsid w:val="63223F18"/>
    <w:rsid w:val="632D06E6"/>
    <w:rsid w:val="632D228A"/>
    <w:rsid w:val="633821A2"/>
    <w:rsid w:val="633C6F6C"/>
    <w:rsid w:val="633E5105"/>
    <w:rsid w:val="63445736"/>
    <w:rsid w:val="634C69D1"/>
    <w:rsid w:val="63643721"/>
    <w:rsid w:val="6374729F"/>
    <w:rsid w:val="63764242"/>
    <w:rsid w:val="637C5F97"/>
    <w:rsid w:val="6381174F"/>
    <w:rsid w:val="6383495F"/>
    <w:rsid w:val="63864447"/>
    <w:rsid w:val="63932665"/>
    <w:rsid w:val="639D3C35"/>
    <w:rsid w:val="63C96D02"/>
    <w:rsid w:val="63D56289"/>
    <w:rsid w:val="63D62261"/>
    <w:rsid w:val="63EC19C2"/>
    <w:rsid w:val="640D685E"/>
    <w:rsid w:val="641E605D"/>
    <w:rsid w:val="64221EE7"/>
    <w:rsid w:val="64307322"/>
    <w:rsid w:val="643E4FFA"/>
    <w:rsid w:val="643F5DE8"/>
    <w:rsid w:val="6447636F"/>
    <w:rsid w:val="644A42AA"/>
    <w:rsid w:val="645D30AD"/>
    <w:rsid w:val="64631081"/>
    <w:rsid w:val="647005D9"/>
    <w:rsid w:val="6483255F"/>
    <w:rsid w:val="64951BED"/>
    <w:rsid w:val="649B23F9"/>
    <w:rsid w:val="64B316B7"/>
    <w:rsid w:val="64F6169B"/>
    <w:rsid w:val="650A6E16"/>
    <w:rsid w:val="650F069D"/>
    <w:rsid w:val="651C1AB6"/>
    <w:rsid w:val="652135B9"/>
    <w:rsid w:val="65362F87"/>
    <w:rsid w:val="653B067A"/>
    <w:rsid w:val="655A4462"/>
    <w:rsid w:val="65613145"/>
    <w:rsid w:val="656179AE"/>
    <w:rsid w:val="65710E2D"/>
    <w:rsid w:val="658C26BB"/>
    <w:rsid w:val="65C81164"/>
    <w:rsid w:val="65D05327"/>
    <w:rsid w:val="65D7009A"/>
    <w:rsid w:val="65E46075"/>
    <w:rsid w:val="662C66AE"/>
    <w:rsid w:val="662D59BD"/>
    <w:rsid w:val="662D635B"/>
    <w:rsid w:val="66323DB2"/>
    <w:rsid w:val="663C7A76"/>
    <w:rsid w:val="665C4650"/>
    <w:rsid w:val="66650BE5"/>
    <w:rsid w:val="66694A3A"/>
    <w:rsid w:val="667B1C1A"/>
    <w:rsid w:val="6680352B"/>
    <w:rsid w:val="66A33109"/>
    <w:rsid w:val="66BE0920"/>
    <w:rsid w:val="66C143B2"/>
    <w:rsid w:val="66CD3508"/>
    <w:rsid w:val="66EF3250"/>
    <w:rsid w:val="670F072B"/>
    <w:rsid w:val="67186BE3"/>
    <w:rsid w:val="671A04F6"/>
    <w:rsid w:val="673A3280"/>
    <w:rsid w:val="673F6895"/>
    <w:rsid w:val="674B425A"/>
    <w:rsid w:val="67625B92"/>
    <w:rsid w:val="67653EE5"/>
    <w:rsid w:val="676716FD"/>
    <w:rsid w:val="67676294"/>
    <w:rsid w:val="67763079"/>
    <w:rsid w:val="67770A67"/>
    <w:rsid w:val="677927D1"/>
    <w:rsid w:val="678D39C8"/>
    <w:rsid w:val="67920ADD"/>
    <w:rsid w:val="67B72DBD"/>
    <w:rsid w:val="67BB5D69"/>
    <w:rsid w:val="67BE18E9"/>
    <w:rsid w:val="67C8030B"/>
    <w:rsid w:val="67D63E58"/>
    <w:rsid w:val="67E224AA"/>
    <w:rsid w:val="67E45304"/>
    <w:rsid w:val="67EC0C4A"/>
    <w:rsid w:val="67ED480B"/>
    <w:rsid w:val="67F06565"/>
    <w:rsid w:val="67F6643E"/>
    <w:rsid w:val="67F930F1"/>
    <w:rsid w:val="680B34D2"/>
    <w:rsid w:val="680E3BC9"/>
    <w:rsid w:val="6814502D"/>
    <w:rsid w:val="681A780F"/>
    <w:rsid w:val="682613BE"/>
    <w:rsid w:val="68263B63"/>
    <w:rsid w:val="68420386"/>
    <w:rsid w:val="68510CF7"/>
    <w:rsid w:val="685A4428"/>
    <w:rsid w:val="685A481B"/>
    <w:rsid w:val="687D7993"/>
    <w:rsid w:val="68900BE7"/>
    <w:rsid w:val="68AC182D"/>
    <w:rsid w:val="68CC3702"/>
    <w:rsid w:val="68D32570"/>
    <w:rsid w:val="68D44218"/>
    <w:rsid w:val="68D44A2C"/>
    <w:rsid w:val="68D97B99"/>
    <w:rsid w:val="68E62651"/>
    <w:rsid w:val="68E90376"/>
    <w:rsid w:val="69053CB7"/>
    <w:rsid w:val="69054C4E"/>
    <w:rsid w:val="69067E37"/>
    <w:rsid w:val="69167D2B"/>
    <w:rsid w:val="693F332F"/>
    <w:rsid w:val="6952684B"/>
    <w:rsid w:val="69704643"/>
    <w:rsid w:val="69790114"/>
    <w:rsid w:val="69804640"/>
    <w:rsid w:val="69817455"/>
    <w:rsid w:val="698747BC"/>
    <w:rsid w:val="69993814"/>
    <w:rsid w:val="699A7565"/>
    <w:rsid w:val="699C63DB"/>
    <w:rsid w:val="69BD24F5"/>
    <w:rsid w:val="69BF6BDD"/>
    <w:rsid w:val="69C630B5"/>
    <w:rsid w:val="69E061B0"/>
    <w:rsid w:val="69E374BD"/>
    <w:rsid w:val="69F01140"/>
    <w:rsid w:val="69FA19C4"/>
    <w:rsid w:val="6A1109D9"/>
    <w:rsid w:val="6A1A7D28"/>
    <w:rsid w:val="6A2373F0"/>
    <w:rsid w:val="6A2A0996"/>
    <w:rsid w:val="6A2C3B47"/>
    <w:rsid w:val="6A363BA8"/>
    <w:rsid w:val="6A3A6A3A"/>
    <w:rsid w:val="6A6A32A3"/>
    <w:rsid w:val="6A6B12D0"/>
    <w:rsid w:val="6A8910A1"/>
    <w:rsid w:val="6A924BC6"/>
    <w:rsid w:val="6A9610AA"/>
    <w:rsid w:val="6AA10BD6"/>
    <w:rsid w:val="6AA16ED4"/>
    <w:rsid w:val="6ACD35E3"/>
    <w:rsid w:val="6ADD5733"/>
    <w:rsid w:val="6AE2024E"/>
    <w:rsid w:val="6AF07C78"/>
    <w:rsid w:val="6B011BCF"/>
    <w:rsid w:val="6B09256D"/>
    <w:rsid w:val="6B0D139B"/>
    <w:rsid w:val="6B1A0BA8"/>
    <w:rsid w:val="6B1D1497"/>
    <w:rsid w:val="6B1E45C0"/>
    <w:rsid w:val="6B2309D0"/>
    <w:rsid w:val="6B3A135C"/>
    <w:rsid w:val="6B595967"/>
    <w:rsid w:val="6B6968E9"/>
    <w:rsid w:val="6B745E08"/>
    <w:rsid w:val="6B7B02B1"/>
    <w:rsid w:val="6B8F59E7"/>
    <w:rsid w:val="6B9D75EE"/>
    <w:rsid w:val="6BA73537"/>
    <w:rsid w:val="6BB04AA3"/>
    <w:rsid w:val="6BC63421"/>
    <w:rsid w:val="6BCA2ACB"/>
    <w:rsid w:val="6BCC0CEE"/>
    <w:rsid w:val="6BDF2E5D"/>
    <w:rsid w:val="6C130CDB"/>
    <w:rsid w:val="6C1D5225"/>
    <w:rsid w:val="6C3559A1"/>
    <w:rsid w:val="6C4C7FE0"/>
    <w:rsid w:val="6C592067"/>
    <w:rsid w:val="6C5C6534"/>
    <w:rsid w:val="6C7E1D10"/>
    <w:rsid w:val="6C860608"/>
    <w:rsid w:val="6C8A133E"/>
    <w:rsid w:val="6C9271AE"/>
    <w:rsid w:val="6C97174C"/>
    <w:rsid w:val="6CAF652B"/>
    <w:rsid w:val="6CB62C24"/>
    <w:rsid w:val="6CC000DA"/>
    <w:rsid w:val="6CC05A1B"/>
    <w:rsid w:val="6CD23D48"/>
    <w:rsid w:val="6CD94321"/>
    <w:rsid w:val="6CEB1C1D"/>
    <w:rsid w:val="6CF20912"/>
    <w:rsid w:val="6CF52916"/>
    <w:rsid w:val="6D0F79A2"/>
    <w:rsid w:val="6D1644C8"/>
    <w:rsid w:val="6D2145A2"/>
    <w:rsid w:val="6D5A1290"/>
    <w:rsid w:val="6D5C3327"/>
    <w:rsid w:val="6DB020E4"/>
    <w:rsid w:val="6DBA57D1"/>
    <w:rsid w:val="6DBD660C"/>
    <w:rsid w:val="6DBF07D4"/>
    <w:rsid w:val="6DC1596E"/>
    <w:rsid w:val="6DC6094B"/>
    <w:rsid w:val="6DD460C9"/>
    <w:rsid w:val="6DE97C6A"/>
    <w:rsid w:val="6DF23EEA"/>
    <w:rsid w:val="6E0B73F0"/>
    <w:rsid w:val="6E0D4BD2"/>
    <w:rsid w:val="6E226842"/>
    <w:rsid w:val="6E2D4DEF"/>
    <w:rsid w:val="6E5071F7"/>
    <w:rsid w:val="6E7F7CBE"/>
    <w:rsid w:val="6E8577EE"/>
    <w:rsid w:val="6EB81E4D"/>
    <w:rsid w:val="6EBA1520"/>
    <w:rsid w:val="6EC16696"/>
    <w:rsid w:val="6ED6442D"/>
    <w:rsid w:val="6EDB7281"/>
    <w:rsid w:val="6EDC7124"/>
    <w:rsid w:val="6EE17C28"/>
    <w:rsid w:val="6EFB492E"/>
    <w:rsid w:val="6F062A3E"/>
    <w:rsid w:val="6F1A48B6"/>
    <w:rsid w:val="6F21232C"/>
    <w:rsid w:val="6F286E39"/>
    <w:rsid w:val="6F393058"/>
    <w:rsid w:val="6F3B0DE0"/>
    <w:rsid w:val="6F3D057C"/>
    <w:rsid w:val="6F6E3BB2"/>
    <w:rsid w:val="6F762432"/>
    <w:rsid w:val="6F770740"/>
    <w:rsid w:val="6F7F5F02"/>
    <w:rsid w:val="6F9C7ECD"/>
    <w:rsid w:val="6FA379C8"/>
    <w:rsid w:val="6FB66EBE"/>
    <w:rsid w:val="6FCC0F97"/>
    <w:rsid w:val="6FDF57E4"/>
    <w:rsid w:val="6FE93CD3"/>
    <w:rsid w:val="70145B3E"/>
    <w:rsid w:val="70235732"/>
    <w:rsid w:val="702B7567"/>
    <w:rsid w:val="702E0687"/>
    <w:rsid w:val="70353D08"/>
    <w:rsid w:val="703B3FA1"/>
    <w:rsid w:val="704841AA"/>
    <w:rsid w:val="704B60EC"/>
    <w:rsid w:val="704E514D"/>
    <w:rsid w:val="70812A95"/>
    <w:rsid w:val="7092772B"/>
    <w:rsid w:val="709D3D0B"/>
    <w:rsid w:val="70A6601B"/>
    <w:rsid w:val="70BE2766"/>
    <w:rsid w:val="70D56151"/>
    <w:rsid w:val="70DF206C"/>
    <w:rsid w:val="70F449B5"/>
    <w:rsid w:val="70FC5BDA"/>
    <w:rsid w:val="71053069"/>
    <w:rsid w:val="7115577F"/>
    <w:rsid w:val="711D3645"/>
    <w:rsid w:val="71477FDA"/>
    <w:rsid w:val="715163DA"/>
    <w:rsid w:val="71605122"/>
    <w:rsid w:val="71764A67"/>
    <w:rsid w:val="718319AC"/>
    <w:rsid w:val="718B0866"/>
    <w:rsid w:val="71906AF8"/>
    <w:rsid w:val="719426FE"/>
    <w:rsid w:val="71A37498"/>
    <w:rsid w:val="71A51CD5"/>
    <w:rsid w:val="71AD252E"/>
    <w:rsid w:val="71AD7351"/>
    <w:rsid w:val="71C1669C"/>
    <w:rsid w:val="71CE7B1E"/>
    <w:rsid w:val="71D83721"/>
    <w:rsid w:val="71D85B10"/>
    <w:rsid w:val="71EC326B"/>
    <w:rsid w:val="71F71A89"/>
    <w:rsid w:val="72150B85"/>
    <w:rsid w:val="722A6E13"/>
    <w:rsid w:val="724D4E72"/>
    <w:rsid w:val="72550877"/>
    <w:rsid w:val="725D7851"/>
    <w:rsid w:val="72643221"/>
    <w:rsid w:val="727A6AF8"/>
    <w:rsid w:val="728C034C"/>
    <w:rsid w:val="728E6B0E"/>
    <w:rsid w:val="729626D1"/>
    <w:rsid w:val="729B5DEC"/>
    <w:rsid w:val="729F44F7"/>
    <w:rsid w:val="72A526E9"/>
    <w:rsid w:val="72C27C85"/>
    <w:rsid w:val="72C45FDF"/>
    <w:rsid w:val="72C768AB"/>
    <w:rsid w:val="72D06364"/>
    <w:rsid w:val="72D81082"/>
    <w:rsid w:val="73171622"/>
    <w:rsid w:val="73267E8D"/>
    <w:rsid w:val="732B2089"/>
    <w:rsid w:val="735125EE"/>
    <w:rsid w:val="73750165"/>
    <w:rsid w:val="73997DE9"/>
    <w:rsid w:val="739D582B"/>
    <w:rsid w:val="73BC79BF"/>
    <w:rsid w:val="73D8194F"/>
    <w:rsid w:val="73D95B23"/>
    <w:rsid w:val="73EA5444"/>
    <w:rsid w:val="73EF30B0"/>
    <w:rsid w:val="73EF3D7E"/>
    <w:rsid w:val="73F817BB"/>
    <w:rsid w:val="73FA37EA"/>
    <w:rsid w:val="7406684B"/>
    <w:rsid w:val="74246FBF"/>
    <w:rsid w:val="7439153D"/>
    <w:rsid w:val="745247B3"/>
    <w:rsid w:val="747B0810"/>
    <w:rsid w:val="7496284B"/>
    <w:rsid w:val="74A13DF0"/>
    <w:rsid w:val="74A8744B"/>
    <w:rsid w:val="74AB50A0"/>
    <w:rsid w:val="74C233F7"/>
    <w:rsid w:val="74C37EB7"/>
    <w:rsid w:val="74DB2FC8"/>
    <w:rsid w:val="74E26C02"/>
    <w:rsid w:val="74E67FD9"/>
    <w:rsid w:val="74E74DBA"/>
    <w:rsid w:val="7501308F"/>
    <w:rsid w:val="75082940"/>
    <w:rsid w:val="750B33B4"/>
    <w:rsid w:val="752075EF"/>
    <w:rsid w:val="752941B3"/>
    <w:rsid w:val="752A39CF"/>
    <w:rsid w:val="753C6A57"/>
    <w:rsid w:val="753C6C23"/>
    <w:rsid w:val="7556504A"/>
    <w:rsid w:val="757C0FCF"/>
    <w:rsid w:val="75A84C6F"/>
    <w:rsid w:val="75AA0CF8"/>
    <w:rsid w:val="75B64875"/>
    <w:rsid w:val="75BA742C"/>
    <w:rsid w:val="75C50EBB"/>
    <w:rsid w:val="75DA012E"/>
    <w:rsid w:val="76061A21"/>
    <w:rsid w:val="76082911"/>
    <w:rsid w:val="76086EF1"/>
    <w:rsid w:val="7610256F"/>
    <w:rsid w:val="76114000"/>
    <w:rsid w:val="761326B2"/>
    <w:rsid w:val="76324BF5"/>
    <w:rsid w:val="764C7AD3"/>
    <w:rsid w:val="764E51DF"/>
    <w:rsid w:val="765B1A3C"/>
    <w:rsid w:val="767535A1"/>
    <w:rsid w:val="76855702"/>
    <w:rsid w:val="76881B18"/>
    <w:rsid w:val="768C0D6A"/>
    <w:rsid w:val="76A809F9"/>
    <w:rsid w:val="76CB1779"/>
    <w:rsid w:val="76DA155C"/>
    <w:rsid w:val="76FC42AC"/>
    <w:rsid w:val="7703651B"/>
    <w:rsid w:val="77313831"/>
    <w:rsid w:val="7734325E"/>
    <w:rsid w:val="773616D6"/>
    <w:rsid w:val="777D749C"/>
    <w:rsid w:val="77882D05"/>
    <w:rsid w:val="779721CB"/>
    <w:rsid w:val="77982B58"/>
    <w:rsid w:val="77991499"/>
    <w:rsid w:val="77AF0C37"/>
    <w:rsid w:val="77D51B96"/>
    <w:rsid w:val="77EE6E20"/>
    <w:rsid w:val="77FD1DFD"/>
    <w:rsid w:val="78034139"/>
    <w:rsid w:val="780C4AC2"/>
    <w:rsid w:val="781C3A7C"/>
    <w:rsid w:val="783A5E14"/>
    <w:rsid w:val="7840258F"/>
    <w:rsid w:val="785D6A0E"/>
    <w:rsid w:val="785E71F8"/>
    <w:rsid w:val="78683A8F"/>
    <w:rsid w:val="787231DA"/>
    <w:rsid w:val="787A224D"/>
    <w:rsid w:val="78902350"/>
    <w:rsid w:val="78A261EE"/>
    <w:rsid w:val="78AC49DE"/>
    <w:rsid w:val="78B82CD3"/>
    <w:rsid w:val="78C10EAF"/>
    <w:rsid w:val="78D36201"/>
    <w:rsid w:val="78F032DE"/>
    <w:rsid w:val="791947CE"/>
    <w:rsid w:val="79294940"/>
    <w:rsid w:val="79403981"/>
    <w:rsid w:val="7941433F"/>
    <w:rsid w:val="7943271D"/>
    <w:rsid w:val="79596CDD"/>
    <w:rsid w:val="796D581B"/>
    <w:rsid w:val="797F1271"/>
    <w:rsid w:val="79893224"/>
    <w:rsid w:val="799F6DEA"/>
    <w:rsid w:val="79A979DF"/>
    <w:rsid w:val="7A0677A1"/>
    <w:rsid w:val="7A163D77"/>
    <w:rsid w:val="7A23763A"/>
    <w:rsid w:val="7A277062"/>
    <w:rsid w:val="7A760B2A"/>
    <w:rsid w:val="7A7B0EB8"/>
    <w:rsid w:val="7A7C3430"/>
    <w:rsid w:val="7A7D6B97"/>
    <w:rsid w:val="7A827ACE"/>
    <w:rsid w:val="7A8817EB"/>
    <w:rsid w:val="7AA31C03"/>
    <w:rsid w:val="7AAA704E"/>
    <w:rsid w:val="7AC41FF5"/>
    <w:rsid w:val="7ACC3135"/>
    <w:rsid w:val="7ACD2AEC"/>
    <w:rsid w:val="7AE544F2"/>
    <w:rsid w:val="7AEF063C"/>
    <w:rsid w:val="7AFD16AC"/>
    <w:rsid w:val="7B040111"/>
    <w:rsid w:val="7B41537F"/>
    <w:rsid w:val="7B473E6E"/>
    <w:rsid w:val="7B4B079F"/>
    <w:rsid w:val="7B52431C"/>
    <w:rsid w:val="7B5F7D0B"/>
    <w:rsid w:val="7B773F06"/>
    <w:rsid w:val="7B8D2406"/>
    <w:rsid w:val="7B9C388D"/>
    <w:rsid w:val="7BA00690"/>
    <w:rsid w:val="7BA20A2F"/>
    <w:rsid w:val="7BAC42DC"/>
    <w:rsid w:val="7BB045D8"/>
    <w:rsid w:val="7BBB7732"/>
    <w:rsid w:val="7BC87B7B"/>
    <w:rsid w:val="7BDC7F97"/>
    <w:rsid w:val="7C1C0478"/>
    <w:rsid w:val="7C31116B"/>
    <w:rsid w:val="7C45778B"/>
    <w:rsid w:val="7C4F1B02"/>
    <w:rsid w:val="7C552127"/>
    <w:rsid w:val="7C5C7477"/>
    <w:rsid w:val="7C6C6B0D"/>
    <w:rsid w:val="7C710807"/>
    <w:rsid w:val="7CA0038F"/>
    <w:rsid w:val="7CAA60E2"/>
    <w:rsid w:val="7CB0184C"/>
    <w:rsid w:val="7CC06A9D"/>
    <w:rsid w:val="7CC61811"/>
    <w:rsid w:val="7CCE53CD"/>
    <w:rsid w:val="7CDC70A2"/>
    <w:rsid w:val="7D3123C4"/>
    <w:rsid w:val="7D4D0BBC"/>
    <w:rsid w:val="7D5C079E"/>
    <w:rsid w:val="7D780A22"/>
    <w:rsid w:val="7D851378"/>
    <w:rsid w:val="7D982871"/>
    <w:rsid w:val="7DA23613"/>
    <w:rsid w:val="7DA7357A"/>
    <w:rsid w:val="7DA81C73"/>
    <w:rsid w:val="7DE41E22"/>
    <w:rsid w:val="7DF648F8"/>
    <w:rsid w:val="7E032E83"/>
    <w:rsid w:val="7E195D88"/>
    <w:rsid w:val="7E1D0470"/>
    <w:rsid w:val="7E2D739E"/>
    <w:rsid w:val="7E624E06"/>
    <w:rsid w:val="7E665F9E"/>
    <w:rsid w:val="7E685258"/>
    <w:rsid w:val="7E710570"/>
    <w:rsid w:val="7E74647A"/>
    <w:rsid w:val="7E92644A"/>
    <w:rsid w:val="7E96524A"/>
    <w:rsid w:val="7EA72334"/>
    <w:rsid w:val="7EB06D3B"/>
    <w:rsid w:val="7ECA7B0D"/>
    <w:rsid w:val="7ED3124E"/>
    <w:rsid w:val="7ED733D2"/>
    <w:rsid w:val="7EE31BF5"/>
    <w:rsid w:val="7EEA3630"/>
    <w:rsid w:val="7EF076F9"/>
    <w:rsid w:val="7EF65F77"/>
    <w:rsid w:val="7EF7632F"/>
    <w:rsid w:val="7F0445F4"/>
    <w:rsid w:val="7F275FBB"/>
    <w:rsid w:val="7F362B63"/>
    <w:rsid w:val="7F3B24FF"/>
    <w:rsid w:val="7F591226"/>
    <w:rsid w:val="7F636B54"/>
    <w:rsid w:val="7F6A40DC"/>
    <w:rsid w:val="7F703D72"/>
    <w:rsid w:val="7F840782"/>
    <w:rsid w:val="7F8738A2"/>
    <w:rsid w:val="7F8E6202"/>
    <w:rsid w:val="7F913AE4"/>
    <w:rsid w:val="7F92343B"/>
    <w:rsid w:val="7F987DCA"/>
    <w:rsid w:val="7F9F10A9"/>
    <w:rsid w:val="7FA22C24"/>
    <w:rsid w:val="7FD6645D"/>
    <w:rsid w:val="7FD83B4E"/>
    <w:rsid w:val="7FDB3293"/>
    <w:rsid w:val="7FEF35D5"/>
    <w:rsid w:val="7FFA22C6"/>
    <w:rsid w:val="7FFC53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楷体_GB2312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36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before="340" w:after="330" w:line="579" w:lineRule="auto"/>
      <w:ind w:left="0" w:firstLine="0"/>
      <w:jc w:val="center"/>
      <w:outlineLvl w:val="0"/>
    </w:pPr>
    <w:rPr>
      <w:rFonts w:ascii="Times New Roman" w:hAnsi="Times New Roman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7"/>
    <w:qFormat/>
    <w:uiPriority w:val="0"/>
    <w:pPr>
      <w:keepNext/>
      <w:keepLines/>
      <w:numPr>
        <w:ilvl w:val="1"/>
        <w:numId w:val="1"/>
      </w:numPr>
      <w:spacing w:before="260" w:after="260" w:line="400" w:lineRule="exact"/>
      <w:ind w:left="575" w:hanging="575"/>
      <w:outlineLvl w:val="1"/>
    </w:pPr>
    <w:rPr>
      <w:rFonts w:ascii="Times New Roman" w:hAnsi="Times New Roman"/>
      <w:b/>
      <w:bCs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2"/>
      </w:numPr>
      <w:spacing w:line="400" w:lineRule="exact"/>
      <w:outlineLvl w:val="2"/>
    </w:pPr>
    <w:rPr>
      <w:b/>
      <w:bCs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ind w:left="1151" w:hanging="1151"/>
      <w:outlineLvl w:val="5"/>
    </w:pPr>
    <w:rPr>
      <w:rFonts w:ascii="Arial" w:hAnsi="Arial" w:eastAsia="黑体"/>
      <w:b/>
      <w:bCs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ind w:left="1583" w:hanging="1583"/>
      <w:outlineLvl w:val="8"/>
    </w:pPr>
    <w:rPr>
      <w:rFonts w:ascii="Arial" w:hAnsi="Arial" w:eastAsia="黑体"/>
      <w:szCs w:val="21"/>
    </w:rPr>
  </w:style>
  <w:style w:type="character" w:default="1" w:styleId="32">
    <w:name w:val="Default Paragraph Font"/>
    <w:unhideWhenUsed/>
    <w:qFormat/>
    <w:uiPriority w:val="1"/>
  </w:style>
  <w:style w:type="table" w:default="1" w:styleId="30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textAlignment w:val="baseline"/>
    </w:pPr>
    <w:rPr>
      <w:kern w:val="28"/>
      <w:szCs w:val="20"/>
    </w:rPr>
  </w:style>
  <w:style w:type="paragraph" w:styleId="12">
    <w:name w:val="Normal Indent"/>
    <w:basedOn w:val="1"/>
    <w:next w:val="1"/>
    <w:link w:val="38"/>
    <w:qFormat/>
    <w:uiPriority w:val="0"/>
    <w:pPr>
      <w:autoSpaceDE/>
      <w:autoSpaceDN/>
      <w:adjustRightInd w:val="0"/>
      <w:spacing w:line="360" w:lineRule="atLeast"/>
      <w:ind w:firstLine="420"/>
      <w:jc w:val="both"/>
      <w:textAlignment w:val="baseline"/>
    </w:pPr>
    <w:rPr>
      <w:rFonts w:ascii="Times New Roman" w:hAnsi="Times New Roman" w:cs="Times New Roman"/>
      <w:kern w:val="2"/>
      <w:sz w:val="21"/>
      <w:szCs w:val="20"/>
      <w:lang w:bidi="ar-SA"/>
    </w:rPr>
  </w:style>
  <w:style w:type="paragraph" w:styleId="13">
    <w:name w:val="caption"/>
    <w:basedOn w:val="1"/>
    <w:next w:val="1"/>
    <w:qFormat/>
    <w:uiPriority w:val="0"/>
    <w:rPr>
      <w:rFonts w:cs="Arial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semiHidden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 w:line="312" w:lineRule="auto"/>
      <w:ind w:left="0" w:right="0" w:firstLine="883" w:firstLineChars="200"/>
      <w:jc w:val="left"/>
    </w:pPr>
    <w:rPr>
      <w:rFonts w:hint="default" w:ascii="Times New Roman" w:hAnsi="Times New Roman" w:eastAsia="仿宋" w:cs="Times New Roman"/>
      <w:kern w:val="2"/>
      <w:sz w:val="24"/>
      <w:szCs w:val="24"/>
      <w:lang w:val="en-US" w:eastAsia="zh-CN" w:bidi="ar"/>
    </w:rPr>
  </w:style>
  <w:style w:type="paragraph" w:styleId="16">
    <w:name w:val="Body Text"/>
    <w:basedOn w:val="1"/>
    <w:next w:val="17"/>
    <w:link w:val="39"/>
    <w:qFormat/>
    <w:uiPriority w:val="0"/>
    <w:pPr>
      <w:spacing w:after="120"/>
    </w:pPr>
  </w:style>
  <w:style w:type="paragraph" w:styleId="17">
    <w:name w:val="Body Text First Indent"/>
    <w:basedOn w:val="16"/>
    <w:link w:val="40"/>
    <w:qFormat/>
    <w:uiPriority w:val="0"/>
    <w:pPr>
      <w:spacing w:line="400" w:lineRule="exact"/>
      <w:ind w:firstLine="420" w:firstLineChars="100"/>
    </w:pPr>
  </w:style>
  <w:style w:type="paragraph" w:styleId="18">
    <w:name w:val="Body Text Indent"/>
    <w:basedOn w:val="1"/>
    <w:qFormat/>
    <w:uiPriority w:val="0"/>
    <w:pPr>
      <w:ind w:firstLine="360"/>
    </w:pPr>
    <w:rPr>
      <w:szCs w:val="20"/>
    </w:r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Date"/>
    <w:basedOn w:val="1"/>
    <w:next w:val="1"/>
    <w:qFormat/>
    <w:uiPriority w:val="0"/>
    <w:rPr>
      <w:rFonts w:ascii="宋体"/>
      <w:szCs w:val="20"/>
    </w:rPr>
  </w:style>
  <w:style w:type="paragraph" w:styleId="21">
    <w:name w:val="Body Text Indent 2"/>
    <w:basedOn w:val="1"/>
    <w:qFormat/>
    <w:uiPriority w:val="0"/>
    <w:pPr>
      <w:spacing w:line="300" w:lineRule="auto"/>
      <w:ind w:firstLine="420" w:firstLineChars="200"/>
    </w:pPr>
  </w:style>
  <w:style w:type="paragraph" w:styleId="22">
    <w:name w:val="Balloon Text"/>
    <w:basedOn w:val="1"/>
    <w:semiHidden/>
    <w:qFormat/>
    <w:uiPriority w:val="0"/>
    <w:rPr>
      <w:sz w:val="18"/>
      <w:szCs w:val="18"/>
    </w:rPr>
  </w:style>
  <w:style w:type="paragraph" w:styleId="2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left" w:pos="1050"/>
        <w:tab w:val="right" w:leader="dot" w:pos="9231"/>
      </w:tabs>
      <w:spacing w:line="360" w:lineRule="exact"/>
      <w:jc w:val="left"/>
    </w:pPr>
    <w:rPr>
      <w:rFonts w:ascii="楷体_GB2312" w:cs="宋体"/>
      <w:b/>
      <w:bCs/>
      <w:caps/>
    </w:rPr>
  </w:style>
  <w:style w:type="paragraph" w:styleId="26">
    <w:name w:val="Body Text Indent 3"/>
    <w:basedOn w:val="1"/>
    <w:qFormat/>
    <w:uiPriority w:val="0"/>
    <w:pPr>
      <w:ind w:firstLine="315"/>
    </w:pPr>
    <w:rPr>
      <w:szCs w:val="20"/>
    </w:rPr>
  </w:style>
  <w:style w:type="paragraph" w:styleId="27">
    <w:name w:val="toc 2"/>
    <w:basedOn w:val="1"/>
    <w:next w:val="1"/>
    <w:qFormat/>
    <w:uiPriority w:val="39"/>
    <w:pPr>
      <w:tabs>
        <w:tab w:val="left" w:pos="840"/>
        <w:tab w:val="left" w:pos="1260"/>
        <w:tab w:val="right" w:leader="dot" w:pos="9231"/>
      </w:tabs>
      <w:spacing w:line="440" w:lineRule="exact"/>
      <w:ind w:firstLine="360" w:firstLineChars="200"/>
      <w:jc w:val="left"/>
    </w:pPr>
    <w:rPr>
      <w:smallCaps/>
      <w:szCs w:val="20"/>
    </w:rPr>
  </w:style>
  <w:style w:type="paragraph" w:styleId="28">
    <w:name w:val="Normal (Web)"/>
    <w:basedOn w:val="1"/>
    <w:uiPriority w:val="0"/>
    <w:rPr>
      <w:sz w:val="24"/>
    </w:rPr>
  </w:style>
  <w:style w:type="paragraph" w:styleId="29">
    <w:name w:val="annotation subject"/>
    <w:basedOn w:val="15"/>
    <w:next w:val="15"/>
    <w:semiHidden/>
    <w:qFormat/>
    <w:uiPriority w:val="0"/>
    <w:rPr>
      <w:b/>
      <w:bCs/>
    </w:rPr>
  </w:style>
  <w:style w:type="table" w:styleId="31">
    <w:name w:val="Table Grid"/>
    <w:basedOn w:val="3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page number"/>
    <w:basedOn w:val="32"/>
    <w:qFormat/>
    <w:uiPriority w:val="0"/>
  </w:style>
  <w:style w:type="character" w:styleId="34">
    <w:name w:val="Hyperlink"/>
    <w:qFormat/>
    <w:uiPriority w:val="99"/>
    <w:rPr>
      <w:rFonts w:hint="eastAsia" w:ascii="宋体" w:hAnsi="宋体" w:eastAsia="宋体"/>
      <w:color w:val="000000"/>
      <w:sz w:val="18"/>
      <w:szCs w:val="18"/>
      <w:u w:val="none"/>
    </w:rPr>
  </w:style>
  <w:style w:type="character" w:styleId="35">
    <w:name w:val="annotation reference"/>
    <w:semiHidden/>
    <w:qFormat/>
    <w:uiPriority w:val="0"/>
    <w:rPr>
      <w:sz w:val="21"/>
      <w:szCs w:val="21"/>
    </w:rPr>
  </w:style>
  <w:style w:type="character" w:customStyle="1" w:styleId="36">
    <w:name w:val="标题 1 字符"/>
    <w:link w:val="3"/>
    <w:qFormat/>
    <w:uiPriority w:val="0"/>
    <w:rPr>
      <w:rFonts w:ascii="Times New Roman" w:hAnsi="Times New Roman" w:eastAsia="楷体_GB2312"/>
      <w:b/>
      <w:bCs/>
      <w:kern w:val="44"/>
      <w:sz w:val="44"/>
      <w:szCs w:val="44"/>
    </w:rPr>
  </w:style>
  <w:style w:type="character" w:customStyle="1" w:styleId="37">
    <w:name w:val="标题 2 字符"/>
    <w:link w:val="4"/>
    <w:qFormat/>
    <w:uiPriority w:val="0"/>
    <w:rPr>
      <w:rFonts w:ascii="Times New Roman" w:hAnsi="Times New Roman" w:eastAsia="楷体_GB2312"/>
      <w:b/>
      <w:bCs/>
      <w:kern w:val="2"/>
      <w:sz w:val="24"/>
      <w:szCs w:val="32"/>
      <w:lang w:val="en-US" w:eastAsia="zh-CN" w:bidi="ar-SA"/>
    </w:rPr>
  </w:style>
  <w:style w:type="character" w:customStyle="1" w:styleId="38">
    <w:name w:val="正文缩进 Char"/>
    <w:link w:val="12"/>
    <w:qFormat/>
    <w:uiPriority w:val="0"/>
    <w:rPr>
      <w:rFonts w:ascii="Times New Roman" w:hAnsi="Times New Roman" w:cs="Times New Roman"/>
      <w:kern w:val="2"/>
      <w:sz w:val="21"/>
      <w:szCs w:val="20"/>
      <w:lang w:bidi="ar-SA"/>
    </w:rPr>
  </w:style>
  <w:style w:type="character" w:customStyle="1" w:styleId="39">
    <w:name w:val="正文文本 字符"/>
    <w:link w:val="16"/>
    <w:qFormat/>
    <w:uiPriority w:val="0"/>
    <w:rPr>
      <w:kern w:val="2"/>
      <w:sz w:val="21"/>
      <w:szCs w:val="24"/>
    </w:rPr>
  </w:style>
  <w:style w:type="character" w:customStyle="1" w:styleId="40">
    <w:name w:val="正文文本首行缩进 字符"/>
    <w:basedOn w:val="39"/>
    <w:link w:val="17"/>
    <w:qFormat/>
    <w:uiPriority w:val="0"/>
    <w:rPr>
      <w:kern w:val="2"/>
      <w:sz w:val="21"/>
      <w:szCs w:val="24"/>
    </w:rPr>
  </w:style>
  <w:style w:type="character" w:customStyle="1" w:styleId="41">
    <w:name w:val="font2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2">
    <w:name w:val="15"/>
    <w:basedOn w:val="32"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character" w:customStyle="1" w:styleId="43">
    <w:name w:val="font3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4">
    <w:name w:val="font11"/>
    <w:basedOn w:val="32"/>
    <w:qFormat/>
    <w:uiPriority w:val="0"/>
    <w:rPr>
      <w:rFonts w:hint="eastAsia" w:ascii="楷体_GB2312" w:eastAsia="楷体_GB2312" w:cs="楷体_GB2312"/>
      <w:color w:val="000000"/>
      <w:sz w:val="22"/>
      <w:szCs w:val="22"/>
      <w:u w:val="none"/>
    </w:rPr>
  </w:style>
  <w:style w:type="character" w:customStyle="1" w:styleId="45">
    <w:name w:val="表头标题样式 Char"/>
    <w:link w:val="46"/>
    <w:qFormat/>
    <w:uiPriority w:val="0"/>
    <w:rPr>
      <w:rFonts w:ascii="楷体_GB2312" w:eastAsia="楷体_GB2312"/>
      <w:b/>
      <w:bCs/>
      <w:kern w:val="2"/>
      <w:sz w:val="24"/>
      <w:szCs w:val="24"/>
    </w:rPr>
  </w:style>
  <w:style w:type="paragraph" w:customStyle="1" w:styleId="46">
    <w:name w:val="表头标题样式"/>
    <w:basedOn w:val="1"/>
    <w:link w:val="45"/>
    <w:qFormat/>
    <w:uiPriority w:val="0"/>
    <w:pPr>
      <w:spacing w:line="440" w:lineRule="exact"/>
      <w:ind w:right="629" w:firstLine="2168" w:firstLineChars="900"/>
    </w:pPr>
    <w:rPr>
      <w:rFonts w:ascii="楷体_GB2312"/>
      <w:b/>
      <w:bCs/>
    </w:rPr>
  </w:style>
  <w:style w:type="character" w:customStyle="1" w:styleId="47">
    <w:name w:val="图标题样式 Char"/>
    <w:link w:val="48"/>
    <w:qFormat/>
    <w:uiPriority w:val="0"/>
    <w:rPr>
      <w:rFonts w:ascii="楷体_GB2312" w:hAnsi="楷体_GB2312" w:eastAsia="楷体_GB2312"/>
      <w:kern w:val="2"/>
      <w:sz w:val="24"/>
      <w:szCs w:val="24"/>
    </w:rPr>
  </w:style>
  <w:style w:type="paragraph" w:customStyle="1" w:styleId="48">
    <w:name w:val="图标题样式"/>
    <w:basedOn w:val="49"/>
    <w:link w:val="47"/>
    <w:qFormat/>
    <w:uiPriority w:val="0"/>
    <w:pPr>
      <w:spacing w:line="360" w:lineRule="auto"/>
    </w:pPr>
    <w:rPr>
      <w:rFonts w:hAnsi="Times New Roman"/>
      <w:kern w:val="2"/>
      <w:szCs w:val="24"/>
    </w:rPr>
  </w:style>
  <w:style w:type="paragraph" w:customStyle="1" w:styleId="49">
    <w:name w:val="表格"/>
    <w:next w:val="1"/>
    <w:link w:val="50"/>
    <w:qFormat/>
    <w:uiPriority w:val="0"/>
    <w:pPr>
      <w:spacing w:line="400" w:lineRule="exact"/>
      <w:jc w:val="center"/>
    </w:pPr>
    <w:rPr>
      <w:rFonts w:ascii="楷体_GB2312" w:hAnsi="楷体_GB2312" w:eastAsia="楷体_GB2312" w:cs="Times New Roman"/>
      <w:sz w:val="24"/>
      <w:lang w:val="en-US" w:eastAsia="zh-CN" w:bidi="ar-SA"/>
    </w:rPr>
  </w:style>
  <w:style w:type="character" w:customStyle="1" w:styleId="50">
    <w:name w:val="表格 Char"/>
    <w:link w:val="49"/>
    <w:qFormat/>
    <w:uiPriority w:val="0"/>
    <w:rPr>
      <w:rFonts w:ascii="楷体_GB2312" w:hAnsi="楷体_GB2312" w:eastAsia="楷体_GB2312"/>
      <w:sz w:val="24"/>
    </w:rPr>
  </w:style>
  <w:style w:type="character" w:customStyle="1" w:styleId="51">
    <w:name w:val="font01"/>
    <w:basedOn w:val="32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52">
    <w:name w:val="！小五"/>
    <w:qFormat/>
    <w:uiPriority w:val="0"/>
    <w:rPr>
      <w:sz w:val="18"/>
      <w:szCs w:val="18"/>
    </w:rPr>
  </w:style>
  <w:style w:type="character" w:customStyle="1" w:styleId="53">
    <w:name w:val="10"/>
    <w:basedOn w:val="32"/>
    <w:uiPriority w:val="0"/>
    <w:rPr>
      <w:rFonts w:hint="default" w:ascii="Times New Roman" w:hAnsi="Times New Roman" w:cs="Times New Roman"/>
    </w:rPr>
  </w:style>
  <w:style w:type="character" w:customStyle="1" w:styleId="54">
    <w:name w:val="！正体"/>
    <w:qFormat/>
    <w:uiPriority w:val="0"/>
  </w:style>
  <w:style w:type="character" w:customStyle="1" w:styleId="55">
    <w:name w:val="章节标题样式 Char"/>
    <w:link w:val="56"/>
    <w:qFormat/>
    <w:uiPriority w:val="0"/>
    <w:rPr>
      <w:rFonts w:ascii="楷体_GB2312" w:eastAsia="楷体_GB2312"/>
      <w:b/>
      <w:bCs/>
      <w:kern w:val="44"/>
      <w:sz w:val="24"/>
      <w:szCs w:val="24"/>
      <w:lang w:val="en-US" w:eastAsia="zh-CN" w:bidi="ar-SA"/>
    </w:rPr>
  </w:style>
  <w:style w:type="paragraph" w:customStyle="1" w:styleId="56">
    <w:name w:val="章节标题样式"/>
    <w:basedOn w:val="3"/>
    <w:link w:val="55"/>
    <w:qFormat/>
    <w:uiPriority w:val="0"/>
    <w:pPr>
      <w:keepNext w:val="0"/>
      <w:keepLines w:val="0"/>
      <w:numPr>
        <w:ilvl w:val="0"/>
        <w:numId w:val="3"/>
      </w:numPr>
      <w:spacing w:before="156" w:beforeLines="50" w:after="0" w:line="240" w:lineRule="auto"/>
    </w:pPr>
    <w:rPr>
      <w:rFonts w:ascii="楷体_GB2312"/>
      <w:kern w:val="0"/>
      <w:sz w:val="24"/>
      <w:szCs w:val="24"/>
    </w:rPr>
  </w:style>
  <w:style w:type="paragraph" w:customStyle="1" w:styleId="57">
    <w:name w:val="表"/>
    <w:basedOn w:val="1"/>
    <w:qFormat/>
    <w:uiPriority w:val="0"/>
    <w:pPr>
      <w:adjustRightInd w:val="0"/>
      <w:snapToGrid w:val="0"/>
      <w:jc w:val="center"/>
    </w:pPr>
    <w:rPr>
      <w:rFonts w:ascii="Swis721 Cn BT" w:hAnsi="Swis721 Cn BT"/>
      <w:kern w:val="0"/>
      <w:szCs w:val="21"/>
    </w:rPr>
  </w:style>
  <w:style w:type="paragraph" w:customStyle="1" w:styleId="58">
    <w:name w:val="图"/>
    <w:qFormat/>
    <w:uiPriority w:val="0"/>
    <w:pPr>
      <w:spacing w:before="100" w:after="100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59">
    <w:name w:val="Char Char"/>
    <w:basedOn w:val="1"/>
    <w:qFormat/>
    <w:uiPriority w:val="0"/>
    <w:pPr>
      <w:spacing w:line="360" w:lineRule="auto"/>
      <w:ind w:firstLine="200" w:firstLineChars="200"/>
    </w:pPr>
  </w:style>
  <w:style w:type="paragraph" w:customStyle="1" w:styleId="60">
    <w:name w:val="洪塘大桥月报正文"/>
    <w:basedOn w:val="1"/>
    <w:qFormat/>
    <w:uiPriority w:val="0"/>
    <w:pPr>
      <w:spacing w:line="400" w:lineRule="exact"/>
      <w:ind w:firstLine="640" w:firstLineChars="200"/>
    </w:pPr>
    <w:rPr>
      <w:rFonts w:ascii="Times New Roman" w:hAnsi="Times New Roman"/>
    </w:rPr>
  </w:style>
  <w:style w:type="paragraph" w:customStyle="1" w:styleId="61">
    <w:name w:val="洪塘大桥月报题注"/>
    <w:basedOn w:val="13"/>
    <w:qFormat/>
    <w:uiPriority w:val="0"/>
    <w:pPr>
      <w:spacing w:line="240" w:lineRule="auto"/>
      <w:jc w:val="center"/>
    </w:pPr>
    <w:rPr>
      <w:rFonts w:ascii="Times New Roman" w:hAnsi="Times New Roman"/>
    </w:rPr>
  </w:style>
  <w:style w:type="paragraph" w:customStyle="1" w:styleId="62">
    <w:name w:val="图片"/>
    <w:basedOn w:val="1"/>
    <w:qFormat/>
    <w:uiPriority w:val="0"/>
    <w:pPr>
      <w:spacing w:line="240" w:lineRule="auto"/>
      <w:ind w:firstLine="0" w:firstLineChars="0"/>
      <w:jc w:val="center"/>
    </w:pPr>
    <w:rPr>
      <w:kern w:val="0"/>
      <w:szCs w:val="20"/>
    </w:rPr>
  </w:style>
  <w:style w:type="paragraph" w:customStyle="1" w:styleId="63">
    <w:name w:val="样式 标题 1 +1"/>
    <w:basedOn w:val="3"/>
    <w:qFormat/>
    <w:uiPriority w:val="0"/>
    <w:pPr>
      <w:keepNext w:val="0"/>
      <w:keepLines w:val="0"/>
      <w:tabs>
        <w:tab w:val="clear" w:pos="432"/>
      </w:tabs>
      <w:spacing w:before="156" w:beforeLines="50" w:after="156" w:afterLines="50" w:line="240" w:lineRule="auto"/>
      <w:ind w:left="0" w:firstLine="0"/>
      <w:jc w:val="center"/>
    </w:pPr>
    <w:rPr>
      <w:rFonts w:ascii="楷体_GB2312" w:hAnsi="楷体_GB2312"/>
      <w:kern w:val="0"/>
      <w:sz w:val="24"/>
      <w:szCs w:val="24"/>
    </w:rPr>
  </w:style>
  <w:style w:type="paragraph" w:customStyle="1" w:styleId="64">
    <w:name w:val="xl29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Cs w:val="21"/>
    </w:rPr>
  </w:style>
  <w:style w:type="paragraph" w:customStyle="1" w:styleId="65">
    <w:name w:val="Char Char2 Char Char Char Char"/>
    <w:basedOn w:val="1"/>
    <w:qFormat/>
    <w:uiPriority w:val="0"/>
    <w:pPr>
      <w:spacing w:line="360" w:lineRule="auto"/>
      <w:ind w:firstLine="200" w:firstLineChars="200"/>
    </w:pPr>
    <w:rPr>
      <w:rFonts w:ascii="宋体" w:hAnsi="宋体" w:cs="宋体"/>
    </w:rPr>
  </w:style>
  <w:style w:type="paragraph" w:customStyle="1" w:styleId="66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67">
    <w:name w:val="样式 居中"/>
    <w:basedOn w:val="1"/>
    <w:qFormat/>
    <w:uiPriority w:val="0"/>
    <w:pPr>
      <w:snapToGrid w:val="0"/>
      <w:jc w:val="center"/>
    </w:pPr>
    <w:rPr>
      <w:rFonts w:ascii="楷体_GB2312" w:cs="宋体"/>
      <w:kern w:val="0"/>
    </w:rPr>
  </w:style>
  <w:style w:type="paragraph" w:customStyle="1" w:styleId="68">
    <w:name w:val="表格标题"/>
    <w:basedOn w:val="1"/>
    <w:unhideWhenUsed/>
    <w:uiPriority w:val="99"/>
    <w:pPr>
      <w:widowControl w:val="0"/>
      <w:autoSpaceDE w:val="0"/>
      <w:autoSpaceDN w:val="0"/>
      <w:adjustRightInd w:val="0"/>
      <w:spacing w:beforeLines="0"/>
      <w:jc w:val="center"/>
    </w:pPr>
    <w:rPr>
      <w:rFonts w:ascii="Times New Roman" w:hAnsi="Times New Roman"/>
      <w:b/>
      <w:color w:val="000000"/>
      <w:sz w:val="21"/>
    </w:rPr>
  </w:style>
  <w:style w:type="paragraph" w:customStyle="1" w:styleId="69">
    <w:name w:val="Char Char1 Char Char Char Char Char Char Char Char Char Char Char Char"/>
    <w:basedOn w:val="1"/>
    <w:qFormat/>
    <w:uiPriority w:val="0"/>
    <w:pPr>
      <w:spacing w:line="360" w:lineRule="auto"/>
      <w:ind w:firstLine="200" w:firstLineChars="200"/>
    </w:pPr>
    <w:rPr>
      <w:rFonts w:ascii="宋体" w:hAnsi="宋体" w:cs="宋体"/>
    </w:rPr>
  </w:style>
  <w:style w:type="paragraph" w:customStyle="1" w:styleId="70">
    <w:name w:val="列表段落1"/>
    <w:basedOn w:val="1"/>
    <w:qFormat/>
    <w:uiPriority w:val="34"/>
    <w:pPr>
      <w:ind w:firstLine="420"/>
    </w:pPr>
  </w:style>
  <w:style w:type="paragraph" w:customStyle="1" w:styleId="71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72">
    <w:name w:val="p0"/>
    <w:basedOn w:val="1"/>
    <w:qFormat/>
    <w:uiPriority w:val="0"/>
    <w:pPr>
      <w:widowControl/>
      <w:spacing w:line="400" w:lineRule="exact"/>
    </w:pPr>
    <w:rPr>
      <w:kern w:val="0"/>
      <w:szCs w:val="21"/>
    </w:rPr>
  </w:style>
  <w:style w:type="paragraph" w:customStyle="1" w:styleId="73">
    <w:name w:val="xl30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Cs w:val="21"/>
    </w:rPr>
  </w:style>
  <w:style w:type="paragraph" w:customStyle="1" w:styleId="74">
    <w:name w:val="列表段落11"/>
    <w:basedOn w:val="1"/>
    <w:qFormat/>
    <w:uiPriority w:val="34"/>
    <w:pPr>
      <w:ind w:firstLine="420"/>
    </w:pPr>
  </w:style>
  <w:style w:type="paragraph" w:customStyle="1" w:styleId="75">
    <w:name w:val="表格文字"/>
    <w:basedOn w:val="1"/>
    <w:next w:val="16"/>
    <w:qFormat/>
    <w:uiPriority w:val="0"/>
    <w:pPr>
      <w:spacing w:before="25" w:after="25"/>
      <w:jc w:val="left"/>
    </w:pPr>
    <w:rPr>
      <w:bCs/>
      <w:spacing w:val="10"/>
      <w:kern w:val="0"/>
      <w:sz w:val="24"/>
    </w:rPr>
  </w:style>
  <w:style w:type="paragraph" w:customStyle="1" w:styleId="76">
    <w:name w:val="Char Char2 Char"/>
    <w:basedOn w:val="1"/>
    <w:qFormat/>
    <w:uiPriority w:val="0"/>
    <w:pPr>
      <w:keepNext/>
      <w:keepLines/>
      <w:pageBreakBefore/>
      <w:tabs>
        <w:tab w:val="left" w:pos="845"/>
      </w:tabs>
      <w:ind w:left="845" w:hanging="42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2" Type="http://schemas.microsoft.com/office/2011/relationships/people" Target="people.xml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footer" Target="footer1.xml"/><Relationship Id="rId49" Type="http://schemas.openxmlformats.org/officeDocument/2006/relationships/customXml" Target="../customXml/item1.xml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wmf"/><Relationship Id="rId42" Type="http://schemas.openxmlformats.org/officeDocument/2006/relationships/oleObject" Target="embeddings/oleObject2.bin"/><Relationship Id="rId41" Type="http://schemas.openxmlformats.org/officeDocument/2006/relationships/image" Target="media/image33.wmf"/><Relationship Id="rId40" Type="http://schemas.openxmlformats.org/officeDocument/2006/relationships/oleObject" Target="embeddings/oleObject1.bin"/><Relationship Id="rId4" Type="http://schemas.microsoft.com/office/2011/relationships/commentsExtended" Target="commentsExtended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emf"/><Relationship Id="rId32" Type="http://schemas.openxmlformats.org/officeDocument/2006/relationships/image" Target="media/image25.emf"/><Relationship Id="rId31" Type="http://schemas.openxmlformats.org/officeDocument/2006/relationships/image" Target="media/image24.emf"/><Relationship Id="rId30" Type="http://schemas.openxmlformats.org/officeDocument/2006/relationships/image" Target="media/image23.emf"/><Relationship Id="rId3" Type="http://schemas.openxmlformats.org/officeDocument/2006/relationships/comments" Target="comments.xml"/><Relationship Id="rId29" Type="http://schemas.openxmlformats.org/officeDocument/2006/relationships/image" Target="media/image22.emf"/><Relationship Id="rId28" Type="http://schemas.openxmlformats.org/officeDocument/2006/relationships/image" Target="media/image21.emf"/><Relationship Id="rId27" Type="http://schemas.openxmlformats.org/officeDocument/2006/relationships/image" Target="media/image20.emf"/><Relationship Id="rId26" Type="http://schemas.openxmlformats.org/officeDocument/2006/relationships/image" Target="media/image19.emf"/><Relationship Id="rId25" Type="http://schemas.openxmlformats.org/officeDocument/2006/relationships/image" Target="media/image18.emf"/><Relationship Id="rId24" Type="http://schemas.openxmlformats.org/officeDocument/2006/relationships/image" Target="media/image17.emf"/><Relationship Id="rId23" Type="http://schemas.openxmlformats.org/officeDocument/2006/relationships/image" Target="media/image16.emf"/><Relationship Id="rId22" Type="http://schemas.openxmlformats.org/officeDocument/2006/relationships/image" Target="media/image15.emf"/><Relationship Id="rId21" Type="http://schemas.openxmlformats.org/officeDocument/2006/relationships/image" Target="media/image14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" Type="http://schemas.openxmlformats.org/officeDocument/2006/relationships/image" Target="media/image12.emf"/><Relationship Id="rId18" Type="http://schemas.openxmlformats.org/officeDocument/2006/relationships/image" Target="media/image11.emf"/><Relationship Id="rId17" Type="http://schemas.openxmlformats.org/officeDocument/2006/relationships/image" Target="media/image10.emf"/><Relationship Id="rId16" Type="http://schemas.openxmlformats.org/officeDocument/2006/relationships/image" Target="media/image9.emf"/><Relationship Id="rId15" Type="http://schemas.openxmlformats.org/officeDocument/2006/relationships/image" Target="media/image8.emf"/><Relationship Id="rId14" Type="http://schemas.openxmlformats.org/officeDocument/2006/relationships/image" Target="media/image7.emf"/><Relationship Id="rId13" Type="http://schemas.openxmlformats.org/officeDocument/2006/relationships/image" Target="media/image6.emf"/><Relationship Id="rId12" Type="http://schemas.openxmlformats.org/officeDocument/2006/relationships/image" Target="media/image5.emf"/><Relationship Id="rId11" Type="http://schemas.openxmlformats.org/officeDocument/2006/relationships/image" Target="media/image4.e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fjtcc</Company>
  <Pages>34</Pages>
  <Words>7992</Words>
  <Characters>12710</Characters>
  <Lines>1</Lines>
  <Paragraphs>1</Paragraphs>
  <TotalTime>0</TotalTime>
  <ScaleCrop>false</ScaleCrop>
  <LinksUpToDate>false</LinksUpToDate>
  <CharactersWithSpaces>13392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2019-01-14T03:09:00Z</dcterms:created>
  <dc:creator>Administrator</dc:creator>
  <cp:lastModifiedBy>林迪南</cp:lastModifiedBy>
  <cp:lastPrinted>2025-09-01T08:35:00Z</cp:lastPrinted>
  <dcterms:modified xsi:type="dcterms:W3CDTF">2026-03-16T09:38:23Z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3F10092A128F4B488A2F333810D8E130_13</vt:lpwstr>
  </property>
  <property fmtid="{D5CDD505-2E9C-101B-9397-08002B2CF9AE}" pid="4" name="KSOTemplateDocerSaveRecord">
    <vt:lpwstr>eyJoZGlkIjoiYTY0NmNiNTllN2ZhYTIyOTQ2OWI4YTY3YzFmMzM2NWEiLCJ1c2VySWQiOiIzNDEwOTgyMTMifQ==</vt:lpwstr>
  </property>
</Properties>
</file>