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3A29" w14:textId="01C2F92A" w:rsidR="00CD0012" w:rsidRDefault="00CD0012" w:rsidP="00CD0012">
      <w:pPr>
        <w:rPr>
          <w:rFonts w:hint="eastAsia"/>
        </w:rPr>
      </w:pPr>
    </w:p>
    <w:p w14:paraId="19E88E72" w14:textId="76CCC134" w:rsidR="00A2738C" w:rsidRDefault="009B458A">
      <w:r>
        <w:rPr>
          <w:rFonts w:hint="eastAsia"/>
        </w:rPr>
        <w:t>交易成本</w:t>
      </w:r>
      <w:r w:rsidR="00CD0012">
        <w:rPr>
          <w:rFonts w:hint="eastAsia"/>
        </w:rPr>
        <w:t>并没有作为模型的输入，而是</w:t>
      </w:r>
      <w:r>
        <w:rPr>
          <w:rFonts w:hint="eastAsia"/>
        </w:rPr>
        <w:t>作为超参数参与到了强化学习模型的训练中，</w:t>
      </w:r>
      <w:r w:rsidR="00CD0012">
        <w:rPr>
          <w:rFonts w:hint="eastAsia"/>
        </w:rPr>
        <w:t>所以</w:t>
      </w:r>
      <w:r>
        <w:rPr>
          <w:rFonts w:hint="eastAsia"/>
        </w:rPr>
        <w:t>为了讨论本模型对其敏感度，</w:t>
      </w:r>
      <w:r w:rsidR="00CD0012">
        <w:rPr>
          <w:rFonts w:hint="eastAsia"/>
        </w:rPr>
        <w:t>我们需要对交易成本进行采样，并</w:t>
      </w:r>
      <w:r w:rsidR="00CD0012">
        <w:rPr>
          <w:rFonts w:hint="eastAsia"/>
        </w:rPr>
        <w:t>在</w:t>
      </w:r>
      <w:r w:rsidR="00CD0012">
        <w:rPr>
          <w:rFonts w:hint="eastAsia"/>
        </w:rPr>
        <w:t>采样出的</w:t>
      </w:r>
      <w:r w:rsidR="00CD0012">
        <w:rPr>
          <w:rFonts w:hint="eastAsia"/>
        </w:rPr>
        <w:t>样本空间</w:t>
      </w:r>
      <w:r w:rsidR="00CD0012">
        <w:rPr>
          <w:rFonts w:hint="eastAsia"/>
        </w:rPr>
        <w:t>内运行训练好的模型得出答案，计算出目标函数值</w:t>
      </w:r>
      <w:proofErr w:type="gramStart"/>
      <w:r w:rsidR="00CD0012">
        <w:rPr>
          <w:rFonts w:hint="eastAsia"/>
        </w:rPr>
        <w:t>即最终</w:t>
      </w:r>
      <w:proofErr w:type="gramEnd"/>
      <w:r w:rsidR="00CD0012">
        <w:rPr>
          <w:rFonts w:hint="eastAsia"/>
        </w:rPr>
        <w:t>的收益率，并计算改变改变率即可实现敏感度分析，接下来我们将介绍更多的实现细节。</w:t>
      </w:r>
    </w:p>
    <w:p w14:paraId="257DCAD5" w14:textId="77777777" w:rsidR="00DD7F86" w:rsidRDefault="00CD0012" w:rsidP="00B47B0A">
      <w:pPr>
        <w:pStyle w:val="a3"/>
        <w:numPr>
          <w:ilvl w:val="0"/>
          <w:numId w:val="2"/>
        </w:numPr>
        <w:ind w:firstLineChars="0"/>
      </w:pPr>
      <w:r>
        <w:rPr>
          <w:rFonts w:hint="eastAsia"/>
        </w:rPr>
        <w:t>在这里我们采用了均匀采样与蒙特卡洛采样相结合的方法</w:t>
      </w:r>
      <w:r w:rsidR="00B47B0A">
        <w:rPr>
          <w:rFonts w:hint="eastAsia"/>
        </w:rPr>
        <w:t>进行采样</w:t>
      </w:r>
      <w:r>
        <w:rPr>
          <w:rFonts w:hint="eastAsia"/>
        </w:rPr>
        <w:t>，</w:t>
      </w:r>
      <w:r w:rsidR="00B47B0A">
        <w:rPr>
          <w:rFonts w:hint="eastAsia"/>
        </w:rPr>
        <w:t>第一部分样本空间由</w:t>
      </w:r>
      <w:r>
        <w:rPr>
          <w:rFonts w:hint="eastAsia"/>
        </w:rPr>
        <w:t>均匀采样在样本空间采得，因为希望更好地观察到</w:t>
      </w:r>
      <w:r w:rsidR="00B47B0A">
        <w:rPr>
          <w:rFonts w:hint="eastAsia"/>
        </w:rPr>
        <w:t>原交易成本附近的模型运行结果以便更好地讨论敏感度，我们希望采样到的数据以原交易成本为中心采样呈现正态分布，故采用蒙特卡洛接受-拒绝式采样方法采得第二部分样本空间，我们</w:t>
      </w:r>
      <w:r w:rsidR="00D879C4">
        <w:rPr>
          <w:rFonts w:hint="eastAsia"/>
        </w:rPr>
        <w:t>共计</w:t>
      </w:r>
      <w:r w:rsidR="00B47B0A">
        <w:rPr>
          <w:rFonts w:hint="eastAsia"/>
        </w:rPr>
        <w:t>采得</w:t>
      </w:r>
      <w:r w:rsidR="00D879C4">
        <w:rPr>
          <w:rFonts w:hint="eastAsia"/>
        </w:rPr>
        <w:t>200个</w:t>
      </w:r>
      <w:r w:rsidR="00B47B0A">
        <w:rPr>
          <w:rFonts w:hint="eastAsia"/>
        </w:rPr>
        <w:t>样本</w:t>
      </w:r>
      <w:r w:rsidR="00D879C4">
        <w:rPr>
          <w:rFonts w:hint="eastAsia"/>
        </w:rPr>
        <w:t>，</w:t>
      </w:r>
      <w:r w:rsidR="00B47B0A">
        <w:rPr>
          <w:rFonts w:hint="eastAsia"/>
        </w:rPr>
        <w:t>分布如图_所示</w:t>
      </w:r>
    </w:p>
    <w:p w14:paraId="283633E4" w14:textId="6FF0DBFF" w:rsidR="00B47B0A" w:rsidRDefault="00B47B0A" w:rsidP="00B47B0A">
      <w:pPr>
        <w:pStyle w:val="a3"/>
        <w:numPr>
          <w:ilvl w:val="0"/>
          <w:numId w:val="2"/>
        </w:numPr>
        <w:ind w:firstLineChars="0"/>
      </w:pPr>
    </w:p>
    <w:p w14:paraId="647D0B5C" w14:textId="77777777" w:rsidR="00B47B0A" w:rsidRDefault="00B47B0A" w:rsidP="00B47B0A">
      <w:pPr>
        <w:rPr>
          <w:rFonts w:hint="eastAsia"/>
        </w:rPr>
      </w:pPr>
    </w:p>
    <w:p w14:paraId="54533C3D" w14:textId="01ADFB4F" w:rsidR="006F6AE4" w:rsidRDefault="00B47B0A" w:rsidP="00D879C4">
      <w:pPr>
        <w:pStyle w:val="a3"/>
        <w:numPr>
          <w:ilvl w:val="0"/>
          <w:numId w:val="2"/>
        </w:numPr>
        <w:ind w:firstLineChars="0"/>
      </w:pPr>
      <w:r>
        <w:rPr>
          <w:rFonts w:hint="eastAsia"/>
        </w:rPr>
        <w:t>我们依次运行样本空间中的数据并绘制出3D平面图如图_所示，从图中可以观察到收益率</w:t>
      </w:r>
      <w:proofErr w:type="gramStart"/>
      <w:r>
        <w:rPr>
          <w:rFonts w:hint="eastAsia"/>
        </w:rPr>
        <w:t>随交易</w:t>
      </w:r>
      <w:proofErr w:type="gramEnd"/>
      <w:r>
        <w:rPr>
          <w:rFonts w:hint="eastAsia"/>
        </w:rPr>
        <w:t>成本</w:t>
      </w:r>
      <w:r w:rsidR="00DD7F86">
        <w:rPr>
          <w:rFonts w:hint="eastAsia"/>
        </w:rPr>
        <w:t>相对</w:t>
      </w:r>
      <w:r>
        <w:rPr>
          <w:rFonts w:hint="eastAsia"/>
        </w:rPr>
        <w:t>平稳地变化</w:t>
      </w:r>
      <w:r w:rsidR="00D879C4">
        <w:rPr>
          <w:rFonts w:hint="eastAsia"/>
        </w:rPr>
        <w:t>，近似线性关系，变化趋势符合交易成本对收益率的影响趋势即随着交易成本上升收益率下降</w:t>
      </w:r>
      <w:r w:rsidR="00DD7F86">
        <w:rPr>
          <w:rFonts w:hint="eastAsia"/>
        </w:rPr>
        <w:t>，且比特币的交易成本变化对收益率影响</w:t>
      </w:r>
      <w:r w:rsidR="00576F0C">
        <w:rPr>
          <w:rFonts w:hint="eastAsia"/>
        </w:rPr>
        <w:t>明显大于黄金</w:t>
      </w:r>
      <w:r w:rsidR="000B288F">
        <w:rPr>
          <w:rFonts w:hint="eastAsia"/>
        </w:rPr>
        <w:t>,</w:t>
      </w:r>
      <w:r w:rsidR="000B288F" w:rsidRPr="000B288F">
        <w:rPr>
          <w:rFonts w:hint="eastAsia"/>
        </w:rPr>
        <w:t xml:space="preserve"> </w:t>
      </w:r>
      <w:r w:rsidR="000B288F">
        <w:rPr>
          <w:rFonts w:hint="eastAsia"/>
        </w:rPr>
        <w:t>我们的交易策略并没有因为交易成本的改变而出现失效</w:t>
      </w:r>
    </w:p>
    <w:p w14:paraId="49BD852A" w14:textId="601ECDD9" w:rsidR="009B458A" w:rsidRDefault="006F6AE4" w:rsidP="00D879C4">
      <w:pPr>
        <w:pStyle w:val="a3"/>
        <w:numPr>
          <w:ilvl w:val="0"/>
          <w:numId w:val="2"/>
        </w:numPr>
        <w:ind w:firstLineChars="0"/>
      </w:pPr>
      <w:r>
        <w:rPr>
          <w:rFonts w:hint="eastAsia"/>
          <w:noProof/>
        </w:rPr>
        <w:drawing>
          <wp:inline distT="0" distB="0" distL="0" distR="0" wp14:anchorId="23D8B271" wp14:editId="07CDDA45">
            <wp:extent cx="5274945" cy="3952875"/>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952875"/>
                    </a:xfrm>
                    <a:prstGeom prst="rect">
                      <a:avLst/>
                    </a:prstGeom>
                    <a:noFill/>
                    <a:ln>
                      <a:noFill/>
                    </a:ln>
                  </pic:spPr>
                </pic:pic>
              </a:graphicData>
            </a:graphic>
          </wp:inline>
        </w:drawing>
      </w:r>
      <w:r w:rsidR="00B47B0A">
        <w:rPr>
          <w:rFonts w:hint="eastAsia"/>
        </w:rPr>
        <w:t>，</w:t>
      </w:r>
      <w:r w:rsidR="00D879C4">
        <w:rPr>
          <w:rFonts w:hint="eastAsia"/>
        </w:rPr>
        <w:t>。</w:t>
      </w:r>
    </w:p>
    <w:p w14:paraId="2FCAAF8C" w14:textId="12B82DAF" w:rsidR="00DD7F86" w:rsidRDefault="00DD7F86" w:rsidP="00D879C4">
      <w:pPr>
        <w:pStyle w:val="a3"/>
        <w:numPr>
          <w:ilvl w:val="0"/>
          <w:numId w:val="2"/>
        </w:numPr>
        <w:ind w:firstLineChars="0"/>
      </w:pPr>
    </w:p>
    <w:p w14:paraId="3ECD6007" w14:textId="77777777" w:rsidR="00D879C4" w:rsidRDefault="00D879C4" w:rsidP="00D879C4">
      <w:pPr>
        <w:rPr>
          <w:rFonts w:hint="eastAsia"/>
        </w:rPr>
      </w:pPr>
    </w:p>
    <w:p w14:paraId="3C2BE48C" w14:textId="2DC9460E" w:rsidR="00D879C4" w:rsidRDefault="00D879C4" w:rsidP="00D879C4">
      <w:pPr>
        <w:pStyle w:val="a3"/>
        <w:numPr>
          <w:ilvl w:val="0"/>
          <w:numId w:val="2"/>
        </w:numPr>
        <w:ind w:firstLineChars="0"/>
      </w:pPr>
      <w:r>
        <w:rPr>
          <w:rFonts w:hint="eastAsia"/>
        </w:rPr>
        <w:t>我们的强化学习模型还可以针对新的交易成本进行fine-tune，可以进一步减少由于交易成本变化对模型策略的影响，我们</w:t>
      </w:r>
      <w:r w:rsidR="00576F0C">
        <w:rPr>
          <w:rFonts w:hint="eastAsia"/>
        </w:rPr>
        <w:t>根据均匀</w:t>
      </w:r>
      <w:r>
        <w:rPr>
          <w:rFonts w:hint="eastAsia"/>
        </w:rPr>
        <w:t>抽取5组样本，经过0.1GPU</w:t>
      </w:r>
      <w:r>
        <w:t xml:space="preserve"> </w:t>
      </w:r>
      <w:r>
        <w:rPr>
          <w:rFonts w:hint="eastAsia"/>
        </w:rPr>
        <w:t>day的fine-tune我们得到了</w:t>
      </w:r>
      <w:r w:rsidR="004C4045">
        <w:rPr>
          <w:rFonts w:hint="eastAsia"/>
        </w:rPr>
        <w:t>如下结果：</w:t>
      </w:r>
    </w:p>
    <w:p w14:paraId="284C4159" w14:textId="546D8271" w:rsidR="004C4045" w:rsidRDefault="006B4532" w:rsidP="004C4045">
      <w:pPr>
        <w:pStyle w:val="a3"/>
      </w:pPr>
      <w:r>
        <w:rPr>
          <w:rFonts w:hint="eastAsia"/>
        </w:rPr>
        <w:t>插入表格：</w:t>
      </w:r>
    </w:p>
    <w:tbl>
      <w:tblPr>
        <w:tblStyle w:val="a4"/>
        <w:tblW w:w="0" w:type="auto"/>
        <w:tblLook w:val="04A0" w:firstRow="1" w:lastRow="0" w:firstColumn="1" w:lastColumn="0" w:noHBand="0" w:noVBand="1"/>
      </w:tblPr>
      <w:tblGrid>
        <w:gridCol w:w="2765"/>
        <w:gridCol w:w="2765"/>
        <w:gridCol w:w="2766"/>
      </w:tblGrid>
      <w:tr w:rsidR="006B4532" w14:paraId="29D37017" w14:textId="77777777" w:rsidTr="006B4532">
        <w:tc>
          <w:tcPr>
            <w:tcW w:w="2765" w:type="dxa"/>
          </w:tcPr>
          <w:p w14:paraId="34FD07D4" w14:textId="5BA7EA9E" w:rsidR="006B4532" w:rsidRDefault="006B4532" w:rsidP="004C4045">
            <w:pPr>
              <w:pStyle w:val="a3"/>
              <w:ind w:firstLineChars="0" w:firstLine="0"/>
              <w:rPr>
                <w:rFonts w:hint="eastAsia"/>
              </w:rPr>
            </w:pPr>
            <w:r>
              <w:rPr>
                <w:rFonts w:hint="eastAsia"/>
              </w:rPr>
              <w:lastRenderedPageBreak/>
              <w:t>成本</w:t>
            </w:r>
          </w:p>
        </w:tc>
        <w:tc>
          <w:tcPr>
            <w:tcW w:w="2765" w:type="dxa"/>
          </w:tcPr>
          <w:p w14:paraId="6A222BBA" w14:textId="159665FE" w:rsidR="006B4532" w:rsidRDefault="006B4532" w:rsidP="004C4045">
            <w:pPr>
              <w:pStyle w:val="a3"/>
              <w:ind w:firstLineChars="0" w:firstLine="0"/>
              <w:rPr>
                <w:rFonts w:hint="eastAsia"/>
              </w:rPr>
            </w:pPr>
            <w:r>
              <w:t>F</w:t>
            </w:r>
            <w:r>
              <w:rPr>
                <w:rFonts w:hint="eastAsia"/>
              </w:rPr>
              <w:t>une-tune前收益率</w:t>
            </w:r>
          </w:p>
        </w:tc>
        <w:tc>
          <w:tcPr>
            <w:tcW w:w="2766" w:type="dxa"/>
          </w:tcPr>
          <w:p w14:paraId="3BF464FF" w14:textId="46FCAAAD" w:rsidR="006B4532" w:rsidRDefault="006B4532" w:rsidP="004C4045">
            <w:pPr>
              <w:pStyle w:val="a3"/>
              <w:ind w:firstLineChars="0" w:firstLine="0"/>
              <w:rPr>
                <w:rFonts w:hint="eastAsia"/>
              </w:rPr>
            </w:pPr>
            <w:r>
              <w:t>F</w:t>
            </w:r>
            <w:r>
              <w:rPr>
                <w:rFonts w:hint="eastAsia"/>
              </w:rPr>
              <w:t>une-tune后收益率</w:t>
            </w:r>
          </w:p>
        </w:tc>
      </w:tr>
      <w:tr w:rsidR="006B4532" w14:paraId="12F8D27F" w14:textId="77777777" w:rsidTr="006B4532">
        <w:tc>
          <w:tcPr>
            <w:tcW w:w="2765" w:type="dxa"/>
          </w:tcPr>
          <w:p w14:paraId="2F7FF9F3" w14:textId="1E70B127" w:rsidR="006B4532" w:rsidRDefault="006B4532" w:rsidP="004C4045">
            <w:pPr>
              <w:pStyle w:val="a3"/>
              <w:ind w:firstLineChars="0" w:firstLine="0"/>
              <w:rPr>
                <w:rFonts w:hint="eastAsia"/>
              </w:rPr>
            </w:pPr>
            <w:r>
              <w:rPr>
                <w:rFonts w:hint="eastAsia"/>
              </w:rPr>
              <w:t>[0.1</w:t>
            </w:r>
            <w:r>
              <w:t>,0,1]</w:t>
            </w:r>
          </w:p>
        </w:tc>
        <w:tc>
          <w:tcPr>
            <w:tcW w:w="2765" w:type="dxa"/>
          </w:tcPr>
          <w:p w14:paraId="5BA49FB7" w14:textId="0A06EB17" w:rsidR="006B4532" w:rsidRDefault="006B4532" w:rsidP="004C4045">
            <w:pPr>
              <w:pStyle w:val="a3"/>
              <w:ind w:firstLineChars="0" w:firstLine="0"/>
              <w:rPr>
                <w:rFonts w:hint="eastAsia"/>
              </w:rPr>
            </w:pPr>
            <w:r>
              <w:rPr>
                <w:rFonts w:hint="eastAsia"/>
              </w:rPr>
              <w:t>351247.12%</w:t>
            </w:r>
          </w:p>
        </w:tc>
        <w:tc>
          <w:tcPr>
            <w:tcW w:w="2766" w:type="dxa"/>
          </w:tcPr>
          <w:p w14:paraId="55901169" w14:textId="467592D8" w:rsidR="006B4532" w:rsidRDefault="006B4532" w:rsidP="004C4045">
            <w:pPr>
              <w:pStyle w:val="a3"/>
              <w:ind w:firstLineChars="0" w:firstLine="0"/>
              <w:rPr>
                <w:rFonts w:hint="eastAsia"/>
              </w:rPr>
            </w:pPr>
            <w:r>
              <w:rPr>
                <w:rFonts w:hint="eastAsia"/>
              </w:rPr>
              <w:t>382178.3%</w:t>
            </w:r>
          </w:p>
        </w:tc>
      </w:tr>
      <w:tr w:rsidR="006B4532" w14:paraId="0D6D07E5" w14:textId="77777777" w:rsidTr="006B4532">
        <w:tc>
          <w:tcPr>
            <w:tcW w:w="2765" w:type="dxa"/>
          </w:tcPr>
          <w:p w14:paraId="6EB01472" w14:textId="5A8376EE" w:rsidR="006B4532" w:rsidRDefault="006B4532" w:rsidP="004C4045">
            <w:pPr>
              <w:pStyle w:val="a3"/>
              <w:ind w:firstLineChars="0" w:firstLine="0"/>
              <w:rPr>
                <w:rFonts w:hint="eastAsia"/>
              </w:rPr>
            </w:pPr>
            <w:r>
              <w:t>[</w:t>
            </w:r>
            <w:r>
              <w:rPr>
                <w:rFonts w:hint="eastAsia"/>
              </w:rPr>
              <w:t>0.3</w:t>
            </w:r>
            <w:r>
              <w:t>,0,3]</w:t>
            </w:r>
          </w:p>
        </w:tc>
        <w:tc>
          <w:tcPr>
            <w:tcW w:w="2765" w:type="dxa"/>
          </w:tcPr>
          <w:p w14:paraId="740D5019" w14:textId="2B3864F3" w:rsidR="006B4532" w:rsidRDefault="006B4532" w:rsidP="004C4045">
            <w:pPr>
              <w:pStyle w:val="a3"/>
              <w:ind w:firstLineChars="0" w:firstLine="0"/>
              <w:rPr>
                <w:rFonts w:hint="eastAsia"/>
              </w:rPr>
            </w:pPr>
            <w:r>
              <w:rPr>
                <w:rFonts w:hint="eastAsia"/>
              </w:rPr>
              <w:t>2</w:t>
            </w:r>
            <w:r w:rsidR="006F6AE4">
              <w:rPr>
                <w:rFonts w:hint="eastAsia"/>
              </w:rPr>
              <w:t>7</w:t>
            </w:r>
            <w:r>
              <w:rPr>
                <w:rFonts w:hint="eastAsia"/>
              </w:rPr>
              <w:t>3217.21%</w:t>
            </w:r>
          </w:p>
        </w:tc>
        <w:tc>
          <w:tcPr>
            <w:tcW w:w="2766" w:type="dxa"/>
          </w:tcPr>
          <w:p w14:paraId="3DC6C47F" w14:textId="4DF0B745" w:rsidR="006B4532" w:rsidRDefault="006B4532" w:rsidP="004C4045">
            <w:pPr>
              <w:pStyle w:val="a3"/>
              <w:ind w:firstLineChars="0" w:firstLine="0"/>
              <w:rPr>
                <w:rFonts w:hint="eastAsia"/>
              </w:rPr>
            </w:pPr>
            <w:r>
              <w:rPr>
                <w:rFonts w:hint="eastAsia"/>
              </w:rPr>
              <w:t>3</w:t>
            </w:r>
            <w:r w:rsidR="006F6AE4">
              <w:rPr>
                <w:rFonts w:hint="eastAsia"/>
              </w:rPr>
              <w:t>0</w:t>
            </w:r>
            <w:r>
              <w:rPr>
                <w:rFonts w:hint="eastAsia"/>
              </w:rPr>
              <w:t>2837.3</w:t>
            </w:r>
            <w:r w:rsidR="006F6AE4">
              <w:rPr>
                <w:rFonts w:hint="eastAsia"/>
              </w:rPr>
              <w:t>4</w:t>
            </w:r>
            <w:r>
              <w:rPr>
                <w:rFonts w:hint="eastAsia"/>
              </w:rPr>
              <w:t>%</w:t>
            </w:r>
          </w:p>
        </w:tc>
      </w:tr>
      <w:tr w:rsidR="006B4532" w14:paraId="485CAC6E" w14:textId="77777777" w:rsidTr="006B4532">
        <w:tc>
          <w:tcPr>
            <w:tcW w:w="2765" w:type="dxa"/>
          </w:tcPr>
          <w:p w14:paraId="2AD481CF" w14:textId="22656CA1" w:rsidR="006B4532" w:rsidRDefault="006B4532" w:rsidP="004C4045">
            <w:pPr>
              <w:pStyle w:val="a3"/>
              <w:ind w:firstLineChars="0" w:firstLine="0"/>
              <w:rPr>
                <w:rFonts w:hint="eastAsia"/>
              </w:rPr>
            </w:pPr>
            <w:r>
              <w:t>[</w:t>
            </w:r>
            <w:r>
              <w:rPr>
                <w:rFonts w:hint="eastAsia"/>
              </w:rPr>
              <w:t>0.5</w:t>
            </w:r>
            <w:r>
              <w:t>,0.5]</w:t>
            </w:r>
          </w:p>
        </w:tc>
        <w:tc>
          <w:tcPr>
            <w:tcW w:w="2765" w:type="dxa"/>
          </w:tcPr>
          <w:p w14:paraId="35849CB8" w14:textId="26B3A8FC" w:rsidR="006B4532" w:rsidRDefault="006F6AE4" w:rsidP="004C4045">
            <w:pPr>
              <w:pStyle w:val="a3"/>
              <w:ind w:firstLineChars="0" w:firstLine="0"/>
              <w:rPr>
                <w:rFonts w:hint="eastAsia"/>
              </w:rPr>
            </w:pPr>
            <w:r>
              <w:rPr>
                <w:rFonts w:hint="eastAsia"/>
              </w:rPr>
              <w:t>17</w:t>
            </w:r>
            <w:r w:rsidR="00015560">
              <w:t>1232.1</w:t>
            </w:r>
            <w:r>
              <w:rPr>
                <w:rFonts w:hint="eastAsia"/>
              </w:rPr>
              <w:t>9</w:t>
            </w:r>
            <w:r w:rsidR="00015560">
              <w:t>%</w:t>
            </w:r>
          </w:p>
        </w:tc>
        <w:tc>
          <w:tcPr>
            <w:tcW w:w="2766" w:type="dxa"/>
          </w:tcPr>
          <w:p w14:paraId="3B7D135D" w14:textId="1AC33F51" w:rsidR="006B4532" w:rsidRDefault="006F6AE4" w:rsidP="004C4045">
            <w:pPr>
              <w:pStyle w:val="a3"/>
              <w:ind w:firstLineChars="0" w:firstLine="0"/>
              <w:rPr>
                <w:rFonts w:hint="eastAsia"/>
              </w:rPr>
            </w:pPr>
            <w:r>
              <w:rPr>
                <w:rFonts w:hint="eastAsia"/>
              </w:rPr>
              <w:t>181288.12%</w:t>
            </w:r>
          </w:p>
        </w:tc>
      </w:tr>
      <w:tr w:rsidR="006B4532" w14:paraId="6FE1C4A8" w14:textId="77777777" w:rsidTr="006B4532">
        <w:tc>
          <w:tcPr>
            <w:tcW w:w="2765" w:type="dxa"/>
          </w:tcPr>
          <w:p w14:paraId="264FC30A" w14:textId="0A1F07A6" w:rsidR="006B4532" w:rsidRDefault="006B4532" w:rsidP="004C4045">
            <w:pPr>
              <w:pStyle w:val="a3"/>
              <w:ind w:firstLineChars="0" w:firstLine="0"/>
              <w:rPr>
                <w:rFonts w:hint="eastAsia"/>
              </w:rPr>
            </w:pPr>
            <w:r>
              <w:t>[</w:t>
            </w:r>
            <w:r>
              <w:rPr>
                <w:rFonts w:hint="eastAsia"/>
              </w:rPr>
              <w:t>0.7</w:t>
            </w:r>
            <w:r>
              <w:t>,0.7]</w:t>
            </w:r>
          </w:p>
        </w:tc>
        <w:tc>
          <w:tcPr>
            <w:tcW w:w="2765" w:type="dxa"/>
          </w:tcPr>
          <w:p w14:paraId="5CFA309F" w14:textId="51D75AF1" w:rsidR="006B4532" w:rsidRDefault="006F6AE4" w:rsidP="004C4045">
            <w:pPr>
              <w:pStyle w:val="a3"/>
              <w:ind w:firstLineChars="0" w:firstLine="0"/>
              <w:rPr>
                <w:rFonts w:hint="eastAsia"/>
              </w:rPr>
            </w:pPr>
            <w:r>
              <w:rPr>
                <w:rFonts w:hint="eastAsia"/>
              </w:rPr>
              <w:t>123881.55%</w:t>
            </w:r>
          </w:p>
        </w:tc>
        <w:tc>
          <w:tcPr>
            <w:tcW w:w="2766" w:type="dxa"/>
          </w:tcPr>
          <w:p w14:paraId="05282360" w14:textId="41C94816" w:rsidR="006B4532" w:rsidRDefault="006F6AE4" w:rsidP="004C4045">
            <w:pPr>
              <w:pStyle w:val="a3"/>
              <w:ind w:firstLineChars="0" w:firstLine="0"/>
              <w:rPr>
                <w:rFonts w:hint="eastAsia"/>
              </w:rPr>
            </w:pPr>
            <w:r>
              <w:rPr>
                <w:rFonts w:hint="eastAsia"/>
              </w:rPr>
              <w:t>12</w:t>
            </w:r>
            <w:r>
              <w:t>1</w:t>
            </w:r>
            <w:r>
              <w:rPr>
                <w:rFonts w:hint="eastAsia"/>
              </w:rPr>
              <w:t>121.14%</w:t>
            </w:r>
          </w:p>
        </w:tc>
      </w:tr>
      <w:tr w:rsidR="006B4532" w14:paraId="75376826" w14:textId="77777777" w:rsidTr="006B4532">
        <w:tc>
          <w:tcPr>
            <w:tcW w:w="2765" w:type="dxa"/>
          </w:tcPr>
          <w:p w14:paraId="4342565E" w14:textId="3F40EB10" w:rsidR="006B4532" w:rsidRDefault="006B4532" w:rsidP="004C4045">
            <w:pPr>
              <w:pStyle w:val="a3"/>
              <w:ind w:firstLineChars="0" w:firstLine="0"/>
              <w:rPr>
                <w:rFonts w:hint="eastAsia"/>
              </w:rPr>
            </w:pPr>
            <w:r>
              <w:t>[</w:t>
            </w:r>
            <w:r>
              <w:rPr>
                <w:rFonts w:hint="eastAsia"/>
              </w:rPr>
              <w:t>0.9</w:t>
            </w:r>
            <w:r>
              <w:t>,0,9]</w:t>
            </w:r>
          </w:p>
        </w:tc>
        <w:tc>
          <w:tcPr>
            <w:tcW w:w="2765" w:type="dxa"/>
          </w:tcPr>
          <w:p w14:paraId="62F83F5E" w14:textId="37A7730E" w:rsidR="006B4532" w:rsidRDefault="006F6AE4" w:rsidP="004C4045">
            <w:pPr>
              <w:pStyle w:val="a3"/>
              <w:ind w:firstLineChars="0" w:firstLine="0"/>
              <w:rPr>
                <w:rFonts w:hint="eastAsia"/>
              </w:rPr>
            </w:pPr>
            <w:r>
              <w:rPr>
                <w:rFonts w:hint="eastAsia"/>
              </w:rPr>
              <w:t>3</w:t>
            </w:r>
            <w:r>
              <w:t>0</w:t>
            </w:r>
            <w:r>
              <w:rPr>
                <w:rFonts w:hint="eastAsia"/>
              </w:rPr>
              <w:t>122</w:t>
            </w:r>
            <w:r>
              <w:t>.1</w:t>
            </w:r>
            <w:r>
              <w:rPr>
                <w:rFonts w:hint="eastAsia"/>
              </w:rPr>
              <w:t>%</w:t>
            </w:r>
          </w:p>
        </w:tc>
        <w:tc>
          <w:tcPr>
            <w:tcW w:w="2766" w:type="dxa"/>
          </w:tcPr>
          <w:p w14:paraId="68A3F694" w14:textId="5A3D4752" w:rsidR="006B4532" w:rsidRDefault="006F6AE4" w:rsidP="004C4045">
            <w:pPr>
              <w:pStyle w:val="a3"/>
              <w:ind w:firstLineChars="0" w:firstLine="0"/>
              <w:rPr>
                <w:rFonts w:hint="eastAsia"/>
              </w:rPr>
            </w:pPr>
            <w:r>
              <w:rPr>
                <w:rFonts w:hint="eastAsia"/>
              </w:rPr>
              <w:t>3</w:t>
            </w:r>
            <w:r>
              <w:t>19881.12%</w:t>
            </w:r>
          </w:p>
        </w:tc>
      </w:tr>
    </w:tbl>
    <w:p w14:paraId="08320DC2" w14:textId="77777777" w:rsidR="006B4532" w:rsidRDefault="006B4532" w:rsidP="004C4045">
      <w:pPr>
        <w:pStyle w:val="a3"/>
        <w:rPr>
          <w:rFonts w:hint="eastAsia"/>
        </w:rPr>
      </w:pPr>
    </w:p>
    <w:p w14:paraId="2D975EED" w14:textId="77777777" w:rsidR="006B4532" w:rsidRDefault="006B4532" w:rsidP="00065752">
      <w:pPr>
        <w:rPr>
          <w:rFonts w:hint="eastAsia"/>
        </w:rPr>
      </w:pPr>
    </w:p>
    <w:p w14:paraId="529B3BA6" w14:textId="260F9FA3" w:rsidR="004C4045" w:rsidRDefault="004C4045" w:rsidP="004C4045"/>
    <w:p w14:paraId="406BE4AA" w14:textId="29733885" w:rsidR="004C4045" w:rsidRDefault="004C4045" w:rsidP="004C4045">
      <w:pPr>
        <w:rPr>
          <w:rFonts w:hint="eastAsia"/>
        </w:rPr>
      </w:pPr>
      <w:r>
        <w:rPr>
          <w:rFonts w:hint="eastAsia"/>
        </w:rPr>
        <w:t>综上所述，我们可以得出本模型对交易成本的敏感度较低，收益率不会出现明显的异常波动，通过fine-tune，模型可以进一步适应不同的交易成本，本模型的泛化能力也在此体现。</w:t>
      </w:r>
    </w:p>
    <w:p w14:paraId="5398993A" w14:textId="203B3A5C" w:rsidR="009B458A" w:rsidRDefault="009B458A"/>
    <w:p w14:paraId="1B3AB1AB" w14:textId="55822623" w:rsidR="009B458A" w:rsidRDefault="009B458A"/>
    <w:p w14:paraId="7CFE00DA" w14:textId="377399DE" w:rsidR="009B458A" w:rsidRDefault="009B458A"/>
    <w:p w14:paraId="68E29810" w14:textId="57F0836A" w:rsidR="009B458A" w:rsidRDefault="009B458A"/>
    <w:p w14:paraId="40EE5F09" w14:textId="77777777" w:rsidR="009B458A" w:rsidRDefault="009B458A">
      <w:pPr>
        <w:rPr>
          <w:rFonts w:hint="eastAsia"/>
        </w:rPr>
      </w:pPr>
    </w:p>
    <w:sectPr w:rsidR="009B4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5A3"/>
    <w:multiLevelType w:val="hybridMultilevel"/>
    <w:tmpl w:val="178A4F34"/>
    <w:lvl w:ilvl="0" w:tplc="6F9A0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8678C"/>
    <w:multiLevelType w:val="hybridMultilevel"/>
    <w:tmpl w:val="D1AA18A2"/>
    <w:lvl w:ilvl="0" w:tplc="7610C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8A"/>
    <w:rsid w:val="00015560"/>
    <w:rsid w:val="00065752"/>
    <w:rsid w:val="000B288F"/>
    <w:rsid w:val="004C4045"/>
    <w:rsid w:val="005302B7"/>
    <w:rsid w:val="00576F0C"/>
    <w:rsid w:val="006B4532"/>
    <w:rsid w:val="006F6AE4"/>
    <w:rsid w:val="0073564F"/>
    <w:rsid w:val="009B458A"/>
    <w:rsid w:val="00A2738C"/>
    <w:rsid w:val="00AA40F4"/>
    <w:rsid w:val="00B47B0A"/>
    <w:rsid w:val="00CD0012"/>
    <w:rsid w:val="00D879C4"/>
    <w:rsid w:val="00DD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881E"/>
  <w15:chartTrackingRefBased/>
  <w15:docId w15:val="{4EF23FC4-A569-40BB-B8F4-0003C9FE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012"/>
    <w:pPr>
      <w:ind w:firstLineChars="200" w:firstLine="420"/>
    </w:pPr>
  </w:style>
  <w:style w:type="table" w:styleId="a4">
    <w:name w:val="Table Grid"/>
    <w:basedOn w:val="a1"/>
    <w:uiPriority w:val="39"/>
    <w:rsid w:val="006B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郑金亮</dc:creator>
  <cp:keywords/>
  <dc:description/>
  <cp:lastModifiedBy>郑金亮</cp:lastModifiedBy>
  <cp:revision>9</cp:revision>
  <dcterms:created xsi:type="dcterms:W3CDTF">2022-02-21T18:11:00Z</dcterms:created>
  <dcterms:modified xsi:type="dcterms:W3CDTF">2022-02-21T20:17:00Z</dcterms:modified>
</cp:coreProperties>
</file>