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532D5FF">
      <w:pPr>
        <w:spacing w:after="24" w:line="331"/>
        <w:jc w:val="center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7"/>
        </w:rPr>
        <w:t>SettleTrace · 贸易服务结算与费用追溯 — 需求清单</w:t>
      </w:r>
    </w:p>
    <w:p w14:paraId="1A495D3A">
      <w:pPr>
        <w:spacing w:after="72" w:line="331"/>
        <w:jc w:val="center"/>
        <w:rPr>
          <w:color w:val="5a6673"/>
        </w:rPr>
      </w:pPr>
      <w:r>
        <w:rPr>
          <w:rFonts w:hint="eastAsia" w:ascii="SimSun" w:hAnsi="SimSun" w:eastAsia="SimSun" w:cs="SimSun"/>
          <w:color w:val="5a6673"/>
          <w:sz w:val="16"/>
        </w:rPr>
        <w:t>一页纸评审结论 v0.1　｜　2026-10-30　｜　依据：访谈演练报告（合成样本）+ 十项架构评审　｜　试点：1 个批次 / 40 份账单 / 4 周</w:t>
      </w:r>
    </w:p>
    <w:p w14:paraId="043933AA">
      <w:pPr>
        <w:pBdr>
          <w:left w:val="single" w:color="1565c0" w:sz="24"/>
        </w:pBdr>
        <w:shd w:val="clear" w:fill="edf3fa"/>
        <w:spacing w:after="24" w:line="331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6"/>
        </w:rPr>
        <w:t>一句话结论：</w:t>
      </w:r>
      <w:r>
        <w:rPr>
          <w:rFonts w:hint="eastAsia" w:ascii="SimSun" w:hAnsi="SimSun" w:eastAsia="SimSun" w:cs="SimSun"/>
          <w:color w:val="212121"/>
          <w:sz w:val="16"/>
        </w:rPr>
        <w:t>不做「结算平台」，做「核对与留痕型」旁路系统——只读接入、追加式留痕、单据级追溯、两维权限；人工只保留疑点裁定、正式确认、审批放行三处，其余交系统与模型。</w:t>
      </w:r>
    </w:p>
    <w:p w14:paraId="57BADC3C">
      <w:pPr>
        <w:pStyle w:val="000001"/>
        <w:keepNext w:val="1"/>
        <w:keepLines w:val="1"/>
        <w:pBdr>
          <w:bottom w:val="single" w:color="1565c0" w:sz="6" w:space="1"/>
        </w:pBdr>
        <w:spacing w:before="72" w:beforeAutospacing="1" w:after="24" w:afterAutospacing="1" w:line="331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18"/>
        </w:rPr>
        <w:t>一、范围边界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42DB82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在范围内（试点交付）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69E481A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明确排除（写入合同边界）</w:t>
            </w:r>
          </w:p>
        </w:tc>
      </w:tr>
      <w:tr>
        <w:trPr/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17F881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① 单批次代理费用结算单核对（试点 40 份）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② 取证与来源定位：凭证 / 合同 / 台账三源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③ 版本链与「有效期 + 确认状态」双条件判定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④ 疑点提示与人工裁定（只提示不删除）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⑤ 正式确认、审批放行、归档留痕</w:t>
            </w:r>
          </w:p>
        </w:tc>
        <w:tc>
          <w:tcPr>
            <w:tcW w:w="415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3FFD9F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① 付款执行与任何资金动作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② 真实税务判定与税务申报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③ 修改已确认账单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④ 向现有系统写回或触发动作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⑤ 对外出具正式结算单（无签章效力）</w:t>
            </w:r>
            <w:r>
              <w:br w:type="textWrapping"/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⑥ 成本中心分摊与财务核算对接</w:t>
            </w:r>
          </w:p>
        </w:tc>
      </w:tr>
    </w:tbl>
    <w:p w14:paraId="077D90FB">
      <w:pPr>
        <w:pStyle w:val="000001"/>
        <w:keepNext w:val="1"/>
        <w:keepLines w:val="1"/>
        <w:pBdr>
          <w:bottom w:val="single" w:color="1565c0" w:sz="6" w:space="1"/>
        </w:pBdr>
        <w:spacing w:before="72" w:beforeAutospacing="1" w:after="24" w:afterAutospacing="1" w:line="331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18"/>
        </w:rPr>
        <w:t>二、核心实体（11 个）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3654"/>
        <w:gridCol w:w="2824"/>
      </w:tblGrid>
      <w:tr>
        <w:trPr>
          <w:tblHeader w:val="1"/>
        </w:trPr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7E59023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实体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358063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关键字段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45925B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约束 / 说明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712F2A2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结算单 Settlement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1FEF00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系统主键、原业务编号、客户、批次、状态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C5CAE2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无统一编号，须自建主键 + 反向映射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1D94E5F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结算单版本 Version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6CB09F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版本号、有效期起止、确认状态、原始文件哈希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61D9A1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追加式，作废保留原因，不物理删除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FEE8B09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费用行 FeeLine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B49D5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服务项、原币金额、币种、汇率、汇率日期、折算金额、状态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20036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 xml:space="preserve">金额 </w:t>
            </w:r>
            <w:r>
              <w:rPr>
                <w:rFonts w:ascii="Consolas" w:hAnsi="Consolas" w:eastAsia="Consolas" w:cs="Consolas"/>
                <w:color w:val="1565c0"/>
                <w:sz w:val="14"/>
              </w:rPr>
              <w:t>decimal(18,6)</w:t>
            </w:r>
            <w:r>
              <w:rPr>
                <w:rFonts w:hint="eastAsia" w:ascii="SimSun" w:hAnsi="SimSun" w:eastAsia="SimSun" w:cs="SimSun"/>
                <w:color w:val="212121"/>
                <w:sz w:val="15"/>
              </w:rPr>
              <w:t>；禁浮点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DC96F96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凭证 Voucher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4807C8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类型、票号、开票方、金额、文件、内容哈希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936FDA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按哈希去重；票号做唯一性提示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549E4CF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费用行—凭证关联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BF233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费用行 ID、凭证 ID、来源定位、匹配方式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0F2109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15"/>
              </w:rPr>
              <w:t>无来源定位的结果视为无效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564E989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服务项映射 Mapping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0E4CE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费用名称、合同服务项、置信度、确认人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7AC57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映射一次沉淀，二次直接复用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7CAAF3E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缺项 Gap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A9209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缺什么、来源位置、责任人、截止时间、补齐签字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2A4D49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一页原则；签字即确认状态位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B6E0BE7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疑点 Suspect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05DDA3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类型、重复概率、依据链、裁定结论、裁定人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C80DDD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系统不提供删除动作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0321D1C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审批任务 Approval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1F5B7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类型、审批人、结论、时间、意见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AB7655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三类：结论确认 / 异常放行 / 跨企业访问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56459F6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汇率 Rate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8FA90C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币种对、日期、来源、规则版本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1139B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汇率快照，支持历史重算</w:t>
            </w:r>
          </w:p>
        </w:tc>
      </w:tr>
      <w:tr>
        <w:trPr/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480528B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审计留痕 AuditLog</w:t>
            </w:r>
          </w:p>
        </w:tc>
        <w:tc>
          <w:tcPr>
            <w:tcW w:w="365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E6721A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谁、何时、看/建议/确认、涉及版本、模型版本</w:t>
            </w:r>
          </w:p>
        </w:tc>
        <w:tc>
          <w:tcPr>
            <w:tcW w:w="2824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66E08F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三段式，可导出，不可改</w:t>
            </w:r>
          </w:p>
        </w:tc>
      </w:tr>
    </w:tbl>
    <w:p w14:paraId="265ABFF6">
      <w:pPr>
        <w:pStyle w:val="000001"/>
        <w:keepNext w:val="1"/>
        <w:keepLines w:val="1"/>
        <w:pBdr>
          <w:bottom w:val="single" w:color="1565c0" w:sz="6" w:space="1"/>
        </w:pBdr>
        <w:spacing w:before="72" w:beforeAutospacing="1" w:after="24" w:afterAutospacing="1" w:line="331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18"/>
        </w:rPr>
        <w:t>三、主流程与三个不可逆控制点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2242"/>
        <w:gridCol w:w="1827"/>
        <w:gridCol w:w="3488"/>
      </w:tblGrid>
      <w:tr>
        <w:trPr>
          <w:tblHeader w:val="1"/>
        </w:trPr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7DF2F73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步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7ACA977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环节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2F33E4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执行主体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462B6E9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控制点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F00AC9C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5"/>
              </w:rPr>
              <w:t>1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07A99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建单登记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A95ED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系统自动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4FF28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解析邮件/附件/台账，模型无审批权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D9FEA61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5"/>
              </w:rPr>
              <w:t>2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6CE9B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截止校验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B7EA0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系统自动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524F55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超期挂起并生成缺项清单，不默认通过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2005959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5"/>
              </w:rPr>
              <w:t>3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4DB85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取证抽取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B5A81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AI 辅助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249373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5 字段三源交叉，冲突标红附原文页，转人工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BAEE7F4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5"/>
              </w:rPr>
              <w:t>4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E17BE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服务项映射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29F66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AI 辅助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29215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置信度低于阈值转人工，映射可回溯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BC985B5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5"/>
              </w:rPr>
              <w:t>5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E3A9C5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机器预核对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2BB84E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AI 辅助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0B9438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只推差异项，人工复核后才闭环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F955B86">
            <w:pPr>
              <w:jc w:val="center"/>
              <w:rPr>
                <w:color w:val="b4232a"/>
              </w:rPr>
            </w:pPr>
            <w:r>
              <w:rPr>
                <w:rFonts w:ascii="SimSun" w:hAnsi="SimSun" w:eastAsia="SimSun" w:cs="SimSun"/>
                <w:color w:val="b4232a"/>
                <w:sz w:val="15"/>
              </w:rPr>
              <w:t>6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2E43099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疑点裁定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9C94292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人工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64F41D2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不可逆①：只提示不删除，保留原行与原版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D2ED554">
            <w:pPr>
              <w:jc w:val="center"/>
              <w:rPr>
                <w:color w:val="b4232a"/>
              </w:rPr>
            </w:pPr>
            <w:r>
              <w:rPr>
                <w:rFonts w:ascii="SimSun" w:hAnsi="SimSun" w:eastAsia="SimSun" w:cs="SimSun"/>
                <w:color w:val="b4232a"/>
                <w:sz w:val="15"/>
              </w:rPr>
              <w:t>7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05C76C5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正式确认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BED08DA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人工闸口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5DBCE25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不可逆②：授权人电子签，系统不代签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CF3D077">
            <w:pPr>
              <w:jc w:val="center"/>
              <w:rPr>
                <w:color w:val="b4232a"/>
              </w:rPr>
            </w:pPr>
            <w:r>
              <w:rPr>
                <w:rFonts w:ascii="SimSun" w:hAnsi="SimSun" w:eastAsia="SimSun" w:cs="SimSun"/>
                <w:color w:val="b4232a"/>
                <w:sz w:val="15"/>
              </w:rPr>
              <w:t>8</w:t>
            </w:r>
          </w:p>
        </w:tc>
        <w:tc>
          <w:tcPr>
            <w:tcW w:w="2242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62C3F12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审批放行</w:t>
            </w:r>
          </w:p>
        </w:tc>
        <w:tc>
          <w:tcPr>
            <w:tcW w:w="182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95D0E3D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人工闸口</w:t>
            </w:r>
          </w:p>
        </w:tc>
        <w:tc>
          <w:tcPr>
            <w:tcW w:w="3488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df3f3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B38C568">
            <w:pPr>
              <w:rPr>
                <w:color w:val="b4232a"/>
              </w:rPr>
            </w:pPr>
            <w:r>
              <w:rPr>
                <w:rFonts w:hint="eastAsia" w:ascii="SimSun" w:hAnsi="SimSun" w:eastAsia="SimSun" w:cs="SimSun"/>
                <w:color w:val="b4232a"/>
                <w:sz w:val="15"/>
              </w:rPr>
              <w:t>不可逆③：规则前置校验，仅异常上会</w:t>
            </w:r>
          </w:p>
        </w:tc>
      </w:tr>
    </w:tbl>
    <w:p w14:paraId="35C94BC3">
      <w:pPr>
        <w:pStyle w:val="000001"/>
        <w:keepNext w:val="1"/>
        <w:keepLines w:val="1"/>
        <w:pBdr>
          <w:bottom w:val="single" w:color="1565c0" w:sz="6" w:space="1"/>
        </w:pBdr>
        <w:spacing w:before="72" w:beforeAutospacing="1" w:after="24" w:afterAutospacing="1" w:line="331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18"/>
        </w:rPr>
        <w:t>四、角色与权限（6 类，非「员工/管理员」两级）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3156"/>
        <w:gridCol w:w="3156"/>
      </w:tblGrid>
      <w:tr>
        <w:trPr>
          <w:tblHeader w:val="1"/>
        </w:trPr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2C35CB5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角色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0192BA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可执行动作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3B5C2A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数据范围</w:t>
            </w:r>
          </w:p>
        </w:tc>
      </w:tr>
      <w:tr>
        <w:trPr/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B5B922F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一线服务专员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1BC3C0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建单、补录、提交变更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8E506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本人 / 本组所辖单据</w:t>
            </w:r>
          </w:p>
        </w:tc>
      </w:tr>
      <w:tr>
        <w:trPr/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E2427AF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流程协调员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11F5E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交接登记、跟踪未结项、催办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10076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本批次全部单据</w:t>
            </w:r>
          </w:p>
        </w:tc>
      </w:tr>
      <w:tr>
        <w:trPr/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7D9B65E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业务负责人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66C22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正式确认（签字）、决定试点范围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64A9B0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授权客户/项目</w:t>
            </w:r>
          </w:p>
        </w:tc>
      </w:tr>
      <w:tr>
        <w:trPr/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1E50B9E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审核与质量负责人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43CEC2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裁定疑点、裁口径、暂停试点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19E32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全量只读 + 裁定权</w:t>
            </w:r>
          </w:p>
        </w:tc>
      </w:tr>
      <w:tr>
        <w:trPr/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1A4E5CD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数字化工程师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AE426D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数据接入、字段映射、导出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072771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脱敏数据，无业务写权</w:t>
            </w:r>
          </w:p>
        </w:tc>
      </w:tr>
      <w:tr>
        <w:trPr/>
        <w:tc>
          <w:tcPr>
            <w:tcW w:w="1993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0642F92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客户协同代表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F5D760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对外口径确认、投诉登记</w:t>
            </w:r>
          </w:p>
        </w:tc>
        <w:tc>
          <w:tcPr>
            <w:tcW w:w="3156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94E61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仅本客户相关结果</w:t>
            </w:r>
          </w:p>
        </w:tc>
      </w:tr>
    </w:tbl>
    <w:p w14:paraId="34E771BA">
      <w:pPr>
        <w:pStyle w:val="000001"/>
        <w:keepNext w:val="1"/>
        <w:keepLines w:val="1"/>
        <w:pBdr>
          <w:bottom w:val="single" w:color="1565c0" w:sz="6" w:space="1"/>
        </w:pBdr>
        <w:spacing w:before="72" w:beforeAutospacing="1" w:after="24" w:afterAutospacing="1" w:line="331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18"/>
        </w:rPr>
        <w:t>五、非功能底线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"/>
        <w:gridCol w:w="3405"/>
        <w:gridCol w:w="747"/>
        <w:gridCol w:w="3405"/>
      </w:tblGrid>
      <w:tr>
        <w:trPr>
          <w:tblHeader w:val="1"/>
        </w:trPr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125FA26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项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097F105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要求</w:t>
            </w:r>
          </w:p>
        </w:tc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66D662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项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5DE730C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要求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6D8BA43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性能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E5A5A1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单份抽取 + 比对 ≤ 90 秒；40 份批量 ≤ 30 分钟</w:t>
            </w:r>
          </w:p>
        </w:tc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73B341C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精度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9AF77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金额 decimal(18,6)；汇率快照 + 规则版本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0E7FFB1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审计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C0186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查询 / 建议 / 确认三段留痕，可按单据导出</w:t>
            </w:r>
          </w:p>
        </w:tc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53C3463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留存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4AD3B0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原始版本 + 修订原因 + 确认人，保留 10 年</w:t>
            </w:r>
          </w:p>
        </w:tc>
      </w:tr>
      <w:tr>
        <w:trPr/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23B9AB72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部署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257AA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试点公有云（脱敏样本）→ 生产前迁专有云；不绑云厂商</w:t>
            </w:r>
          </w:p>
        </w:tc>
        <w:tc>
          <w:tcPr>
            <w:tcW w:w="747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f7f9fc"/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AB72D41">
            <w:pPr>
              <w:rPr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15"/>
              </w:rPr>
              <w:t>集成</w:t>
            </w:r>
          </w:p>
        </w:tc>
        <w:tc>
          <w:tcPr>
            <w:tcW w:w="3405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D1D56A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只读旁路（导出/只读账号），不支持写回</w:t>
            </w:r>
          </w:p>
        </w:tc>
      </w:tr>
    </w:tbl>
    <w:p w14:paraId="0D1247BA">
      <w:pPr>
        <w:pStyle w:val="000001"/>
        <w:keepNext w:val="1"/>
        <w:keepLines w:val="1"/>
        <w:pBdr>
          <w:bottom w:val="single" w:color="1565c0" w:sz="6" w:space="1"/>
        </w:pBdr>
        <w:spacing w:before="72" w:beforeAutospacing="1" w:after="24" w:afterAutospacing="1" w:line="331"/>
        <w:outlineLvl w:val="1"/>
        <w:rPr>
          <w:color w:val="1565c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565c0"/>
          <w:sz w:val="18"/>
        </w:rPr>
        <w:t>六、十项评审结论与待确认假设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 w:val="1"/>
        </w:trPr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064AB7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Q1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7F6AE7B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Q2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7781707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Q3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68A406B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Q4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61C9B4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Q5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5A1566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Q6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53F6C8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Q7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54D655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Q8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4DA725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Q9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val="clear" w:fill="edf3fa"/>
            <w:tcMar>
              <w:top w:w="21" w:type="dxa"/>
              <w:left w:w="67" w:type="dxa"/>
              <w:bottom w:w="21" w:type="dxa"/>
              <w:right w:w="67" w:type="dxa"/>
            </w:tcMar>
            <w:vAlign w:val="center"/>
          </w:tcPr>
          <w:p w14:paraId="64CFAD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SimHei" w:hAnsi="SimHei" w:eastAsia="SimHei" w:cs="SimHei"/>
                <w:b w:val="1"/>
                <w:color w:val="1a237e"/>
                <w:sz w:val="15"/>
              </w:rPr>
              <w:t>Q10</w:t>
            </w:r>
          </w:p>
        </w:tc>
      </w:tr>
      <w:tr>
        <w:trPr/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56ECABB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 只核对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6564033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A→B 分阶段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13A52A24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 只读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C640218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B 自建主键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58DC028D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 单据级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34AC0305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B 追加式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07240498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B 多币种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1F5219C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 形式校验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4C7D602F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B（轻量）</w:t>
            </w:r>
          </w:p>
        </w:tc>
        <w:tc>
          <w:tcPr>
            <w:tcW w:w="830" w:type="dxa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w="16" w:type="dxa"/>
              <w:left w:w="67" w:type="dxa"/>
              <w:bottom w:w="16" w:type="dxa"/>
              <w:right w:w="67" w:type="dxa"/>
            </w:tcMar>
            <w:vAlign w:val="top"/>
          </w:tcPr>
          <w:p w14:paraId="7AACFD28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5"/>
              </w:rPr>
              <w:t>A 单库</w:t>
            </w:r>
          </w:p>
        </w:tc>
      </w:tr>
    </w:tbl>
    <w:sectPr>
      <w:type w:val="nextPage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2" w:semiHidden="1" w:unhideWhenUsed="1"/>
    <w:lsdException w:name="Body Text Indent 3" w:semiHidden="1" w:unhideWhenUsed="1"/>
    <w:lsdException w:name="caption" w:uiPriority="35" w:semiHidden="1" w:unhideWhenUsed="1" w:qFormat="1"/>
    <w:lsdException w:name="Signature" w:semiHidden="1" w:unhideWhenUsed="1"/>
    <w:lsdException w:name="macro" w:semiHidden="1" w:unhideWhenUsed="1"/>
    <w:lsdException w:name="Body Text First Indent 2" w:semiHidden="1" w:unhideWhenUsed="1"/>
    <w:lsdException w:name="List Continue 3" w:semiHidden="1" w:unhideWhenUsed="1"/>
    <w:lsdException w:name="List Bullet 2" w:semiHidden="1" w:unhideWhenUsed="1"/>
    <w:lsdException w:name="List Number 5" w:semiHidden="1" w:unhideWhenUsed="1"/>
    <w:lsdException w:name="Block Text" w:semiHidden="1" w:unhideWhenUsed="1"/>
    <w:lsdException w:name="index heading" w:semiHidden="1" w:unhideWhenUsed="1"/>
    <w:lsdException w:name="toc 4" w:uiPriority="39" w:semiHidden="1" w:unhideWhenUsed="1"/>
    <w:lsdException w:name="table of authorities" w:semiHidden="1" w:unhideWhenUsed="1"/>
    <w:lsdException w:name="List 2" w:semiHidden="1" w:unhideWhenUsed="1"/>
    <w:lsdException w:name="heading 7" w:uiPriority="9" w:semiHidden="1" w:unhideWhenUsed="1" w:qFormat="1"/>
    <w:lsdException w:name="toc 9" w:uiPriority="39" w:semiHidden="1" w:unhideWhenUsed="1"/>
    <w:lsdException w:name="index 6" w:semiHidden="1" w:unhideWhenUsed="1"/>
    <w:lsdException w:name="page number" w:semiHidden="1" w:unhideWhenUsed="1"/>
    <w:lsdException w:name="Date" w:semiHidden="1" w:unhideWhenUsed="1"/>
    <w:lsdException w:name="index 4" w:semiHidden="1" w:unhideWhenUsed="1"/>
    <w:lsdException w:name="Body Text 3" w:semiHidden="1" w:unhideWhenUsed="1"/>
    <w:lsdException w:name="Message Header" w:semiHidden="1" w:unhideWhenUsed="1"/>
    <w:lsdException w:name="index 5" w:semiHidden="1" w:unhideWhenUsed="1"/>
    <w:lsdException w:name="List 5" w:semiHidden="1" w:unhideWhenUsed="1"/>
    <w:lsdException w:name="Closing" w:semiHidden="1" w:unhideWhenUsed="1"/>
    <w:lsdException w:name="Normal Indent" w:semiHidden="1" w:unhideWhenUsed="1"/>
    <w:lsdException w:name="heading 2" w:uiPriority="9" w:semiHidden="1" w:unhideWhenUsed="1" w:qFormat="1"/>
    <w:lsdException w:name="footer" w:semiHidden="1" w:unhideWhenUsed="1"/>
    <w:lsdException w:name="heading 3" w:uiPriority="9" w:semiHidden="1" w:unhideWhenUsed="1" w:qFormat="1"/>
    <w:lsdException w:name="List Number" w:semiHidden="1" w:unhideWhenUsed="1"/>
    <w:lsdException w:name="Subtitle" w:uiPriority="11" w:qFormat="1"/>
    <w:lsdException w:name="Body Text" w:semiHidden="1" w:unhideWhenUsed="1"/>
    <w:lsdException w:name="Strong" w:uiPriority="22" w:qFormat="1"/>
    <w:lsdException w:name="envelope return" w:semiHidden="1" w:unhideWhenUsed="1"/>
    <w:lsdException w:name="Body Text First Indent" w:semiHidden="1" w:unhideWhenUsed="1"/>
    <w:lsdException w:name="List Continue" w:semiHidden="1" w:unhideWhenUsed="1"/>
    <w:lsdException w:name="heading 8" w:uiPriority="9" w:semiHidden="1" w:unhideWhenUsed="1" w:qFormat="1"/>
    <w:lsdException w:name="Note Heading" w:semiHidden="1" w:unhideWhenUsed="1"/>
    <w:lsdException w:name="List Number 3" w:semiHidden="1" w:unhideWhenUsed="1"/>
    <w:lsdException w:name="heading 5" w:uiPriority="9" w:semiHidden="1" w:unhideWhenUsed="1" w:qFormat="1"/>
    <w:lsdException w:name="index 2" w:semiHidden="1" w:unhideWhenUsed="1"/>
    <w:lsdException w:name="List Number 4" w:semiHidden="1" w:unhideWhenUsed="1"/>
    <w:lsdException w:name="Default Paragraph Font" w:uiPriority="1" w:semiHidden="1" w:unhideWhenUsed="1"/>
    <w:lsdException w:name="annotation text" w:semiHidden="1" w:unhideWhenUsed="1"/>
    <w:lsdException w:name="index 3" w:semiHidden="1" w:unhideWhenUsed="1"/>
    <w:lsdException w:name="List Continue 4" w:semiHidden="1" w:unhideWhenUsed="1"/>
    <w:lsdException w:name="toc 6" w:uiPriority="39" w:semiHidden="1" w:unhideWhenUsed="1"/>
    <w:lsdException w:name="heading 4" w:uiPriority="9" w:semiHidden="1" w:unhideWhenUsed="1" w:qFormat="1"/>
    <w:lsdException w:name="toc 7" w:uiPriority="39" w:semiHidden="1" w:unhideWhenUsed="1"/>
    <w:lsdException w:name="List Bullet" w:semiHidden="1" w:unhideWhenUsed="1"/>
    <w:lsdException w:name="List Continue 2" w:semiHidden="1" w:unhideWhenUsed="1"/>
    <w:lsdException w:name="index 8" w:semiHidden="1" w:unhideWhenUsed="1"/>
    <w:lsdException w:name="heading 1" w:uiPriority="9" w:qFormat="1"/>
    <w:lsdException w:name="annotation reference" w:semiHidden="1" w:unhideWhenUsed="1"/>
    <w:lsdException w:name="FollowedHyperlink" w:semiHidden="1" w:unhideWhenUsed="1"/>
    <w:lsdException w:name="index 9" w:semiHidden="1" w:unhideWhenUsed="1"/>
    <w:lsdException w:name="header" w:semiHidden="1" w:unhideWhenUsed="1"/>
    <w:lsdException w:name="table of figures" w:semiHidden="1" w:unhideWhenUsed="1"/>
    <w:lsdException w:name="toc 1" w:uiPriority="39" w:semiHidden="1" w:unhideWhenUsed="1"/>
    <w:lsdException w:name="index 7" w:semiHidden="1" w:unhideWhenUsed="1"/>
    <w:lsdException w:name="heading 6" w:uiPriority="9" w:semiHidden="1" w:unhideWhenUsed="1" w:qFormat="1"/>
    <w:lsdException w:name="footnote reference" w:semiHidden="1" w:unhideWhenUsed="1"/>
    <w:lsdException w:name="List 3" w:semiHidden="1" w:unhideWhenUsed="1"/>
    <w:lsdException w:name="List" w:semiHidden="1" w:unhideWhenUsed="1"/>
    <w:lsdException w:name="List Continue 5" w:semiHidden="1" w:unhideWhenUsed="1"/>
    <w:lsdException w:name="Normal" w:uiPriority="0" w:qFormat="1"/>
    <w:lsdException w:name="List 4" w:semiHidden="1" w:unhideWhenUsed="1"/>
    <w:lsdException w:name="index 1" w:semiHidden="1" w:unhideWhenUsed="1"/>
    <w:lsdException w:name="toc 8" w:uiPriority="39" w:semiHidden="1" w:unhideWhenUsed="1"/>
    <w:lsdException w:name="envelope address" w:semiHidden="1" w:unhideWhenUsed="1"/>
    <w:lsdException w:name="Title" w:uiPriority="10" w:qFormat="1"/>
    <w:lsdException w:name="Salutation" w:semiHidden="1" w:unhideWhenUsed="1"/>
    <w:lsdException w:name="Body Text Indent" w:semiHidden="1" w:unhideWhenUsed="1"/>
    <w:lsdException w:name="toc 5" w:uiPriority="39" w:semiHidden="1" w:unhideWhenUsed="1"/>
    <w:lsdException w:name="endnote reference" w:semiHidden="1" w:unhideWhenUsed="1"/>
    <w:lsdException w:name="heading 9" w:uiPriority="9" w:semiHidden="1" w:unhideWhenUsed="1" w:qFormat="1"/>
    <w:lsdException w:name="List Bullet 4" w:semiHidden="1" w:unhideWhenUsed="1"/>
    <w:lsdException w:name="toc 2" w:uiPriority="39" w:semiHidden="1" w:unhideWhenUsed="1"/>
    <w:lsdException w:name="List Bullet 5" w:semiHidden="1" w:unhideWhenUsed="1"/>
    <w:lsdException w:name="List Number 2" w:semiHidden="1" w:unhideWhenUsed="1"/>
    <w:lsdException w:name="endnote text" w:semiHidden="1" w:unhideWhenUsed="1"/>
    <w:lsdException w:name="toa heading" w:semiHidden="1" w:unhideWhenUsed="1"/>
    <w:lsdException w:name="Hyperlink" w:semiHidden="1" w:unhideWhenUsed="1"/>
    <w:lsdException w:name="footnote text" w:semiHidden="1" w:unhideWhenUsed="1"/>
    <w:lsdException w:name="toc 3" w:uiPriority="39" w:semiHidden="1" w:unhideWhenUsed="1"/>
    <w:lsdException w:name="line number" w:semiHidden="1" w:unhideWhenUsed="1"/>
    <w:lsdException w:name="List Bullet 3" w:semiHidden="1" w:unhideWhenUsed="1"/>
    <w:lsdException w:name="Body Text Indent 2" w:semiHidden="1" w:unhideWhenUsed="1"/>
  </w:latentStyles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2026-10-30T09:09:56Z</dcterms:created>
  <dcterms:modified xsi:type="dcterms:W3CDTF">2026-10-30T09:09:56Z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"01a18a53181079799f21d9f66ff2d075", "ReservedCode1": "", "ContentPropagator": "00119111010856365494821B355", "PropagateID": "01a18a53181079799f21d9f66ff2d075", "ReservedCode2": ""}}</vt:lpwstr>
  </property>
</Properties>
</file>