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after="384" w:line="420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48"/>
          <w:sz w:val="24"/>
        </w:rPr>
        <w:t>商务方案 · 报价文件</w:t>
      </w:r>
    </w:p>
    <w:p w14:paraId="3FDB21C9">
      <w:pPr>
        <w:spacing w:after="120" w:line="348"/>
        <w:jc w:val="center"/>
        <w:rPr>
          <w:color w:val="1a237e"/>
        </w:rPr>
      </w:pPr>
      <w:r>
        <w:rPr>
          <w:rFonts w:ascii="SimHei" w:hAnsi="SimHei" w:eastAsia="SimHei" w:cs="SimHei"/>
          <w:b w:val="1"/>
          <w:color w:val="1a237e"/>
          <w:sz w:val="52"/>
        </w:rPr>
        <w:t>SettleTrace</w:t>
      </w:r>
      <w:r>
        <w:br w:type="textWrapping"/>
      </w:r>
      <w:r>
        <w:rPr>
          <w:rFonts w:hint="eastAsia" w:ascii="SimHei" w:hAnsi="SimHei" w:eastAsia="SimHei" w:cs="SimHei"/>
          <w:b w:val="1"/>
          <w:color w:val="1a237e"/>
          <w:sz w:val="52"/>
        </w:rPr>
        <w:t>贸易服务结算与费用追溯</w:t>
      </w:r>
    </w:p>
    <w:p w14:paraId="4FDBAA45">
      <w:pPr>
        <w:spacing w:after="528" w:line="420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32"/>
        </w:rPr>
        <w:t>设计方案与报价书</w:t>
      </w:r>
    </w:p>
    <w:p w14:paraId="7856DA94">
      <w:pPr>
        <w:spacing w:after="0" w:line="45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>方案编号：ST-SOL-2026-001　｜　版本：V1.0</w:t>
      </w:r>
    </w:p>
    <w:p w14:paraId="110009EE">
      <w:pPr>
        <w:spacing w:after="0" w:line="45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>编制日期：2026 年 10 月 30 日</w:t>
      </w:r>
    </w:p>
    <w:p w14:paraId="4F12EED7">
      <w:pPr>
        <w:spacing w:after="0" w:line="45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>适用主体：上海外综服国际贸易有限公司</w:t>
      </w:r>
    </w:p>
    <w:p w14:paraId="684AFF6C">
      <w:pPr>
        <w:spacing w:after="0" w:line="45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>保密级别：商业秘密 · 仅限双方项目组传阅</w:t>
      </w:r>
    </w:p>
    <w:p w14:paraId="62CEF10C">
      <w:pPr>
        <w:spacing w:before="576" w:after="132" w:line="420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18"/>
        </w:rPr>
        <w:t>本文件含报价信息，未经许可不得复制或转发</w:t>
      </w:r>
    </w:p>
    <w:p w14:paraId="5BECA10D">
      <w:pPr>
        <w:spacing w:before="240" w:after="120"/>
      </w:pPr>
      <w:r>
        <w:rPr>
          <w:rFonts w:hint="eastAsia"/>
          <w:b w:val="1"/>
        </w:rPr>
        <w:t>目　录</w:t>
      </w:r>
    </w:p>
    <w:p w14:paraId="3E006C8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49C37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项目背景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72675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项目目标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0023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建设范围与边界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9D8FD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二、现状流程与问题定位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4FB3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现状作业链路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4910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五类瓶颈与证据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D92A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现状量化基线（虚构样本，仅作设计参照）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DCDE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三、总体设计方案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320D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5925C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6EA92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数智化后的作业流程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ACC5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人机分工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01E7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3.5 四个关键场景设计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3B5C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"section-3-6" </w:instrText>
      </w:r>
      <w:r>
        <w:fldChar w:fldCharType="separate" w:fldLock="0" w:dirty="0"/>
      </w:r>
      <w:r>
        <w:rPr>
          <w:rFonts w:hint="eastAsia"/>
        </w:rPr>
        <w:t>3.6 数据设计要点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00EE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"section-3-7" </w:instrText>
      </w:r>
      <w:r>
        <w:fldChar w:fldCharType="separate" w:fldLock="0" w:dirty="0"/>
      </w:r>
      <w:r>
        <w:rPr>
          <w:rFonts w:hint="eastAsia"/>
        </w:rPr>
        <w:t>3.7 集成方案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019B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"section-3-8" </w:instrText>
      </w:r>
      <w:r>
        <w:fldChar w:fldCharType="separate" w:fldLock="0" w:dirty="0"/>
      </w:r>
      <w:r>
        <w:rPr>
          <w:rFonts w:hint="eastAsia"/>
        </w:rPr>
        <w:t>3.8 安全与审计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0797B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"section-3-9" </w:instrText>
      </w:r>
      <w:r>
        <w:fldChar w:fldCharType="separate" w:fldLock="0" w:dirty="0"/>
      </w:r>
      <w:r>
        <w:rPr>
          <w:rFonts w:hint="eastAsia"/>
        </w:rPr>
        <w:t>3.9 非功能要求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818B9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CA7F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总体节奏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80806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试点四周排期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818E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F7D0F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项目组织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F6C86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甲方侧需配合事项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80AA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五、验收标准与评估方法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B3250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硬性验收（一票否决）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CB8E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效果指标（试点实测，不作承诺）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81B8A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停止条件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674EC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六、风险与前置条件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2544F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七、报价说明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12B69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计价口径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E47A0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三阶段报价总表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D8E6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阶段一明细（试点，106 人天）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1512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阶段二明细（推广，126 人天）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BA1C7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7.5 阶段三明细（平台化，104 人天，可选）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14EE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"section-7-6" </w:instrText>
      </w:r>
      <w:r>
        <w:fldChar w:fldCharType="separate" w:fldLock="0" w:dirty="0"/>
      </w:r>
      <w:r>
        <w:rPr>
          <w:rFonts w:hint="eastAsia"/>
        </w:rPr>
        <w:t>7.6 可选服务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57DAD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"section-7-7" </w:instrText>
      </w:r>
      <w:r>
        <w:fldChar w:fldCharType="separate" w:fldLock="0" w:dirty="0"/>
      </w:r>
      <w:r>
        <w:rPr>
          <w:rFonts w:hint="eastAsia"/>
        </w:rPr>
        <w:t>7.7 运维服务（年度）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8120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"section-7-8" </w:instrText>
      </w:r>
      <w:r>
        <w:fldChar w:fldCharType="separate" w:fldLock="0" w:dirty="0"/>
      </w:r>
      <w:r>
        <w:rPr>
          <w:rFonts w:hint="eastAsia"/>
        </w:rPr>
        <w:t>7.8 商务条款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831B6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"section-7-9" </w:instrText>
      </w:r>
      <w:r>
        <w:fldChar w:fldCharType="separate" w:fldLock="0" w:dirty="0"/>
      </w:r>
      <w:r>
        <w:rPr>
          <w:rFonts w:hint="eastAsia"/>
        </w:rPr>
        <w:t>7.9 报价不含项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95570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A4E36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关键术语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566E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待确认清单（影响报价与工期）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CEE3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证据索引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B870B7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4BF44D7">
      <w:pPr>
        <w:pBdr>
          <w:left w:val="single" w:color="1565c0" w:sz="32"/>
        </w:pBdr>
        <w:shd w:val="clear" w:fill="f5f7fa"/>
        <w:spacing w:before="264" w:after="120" w:line="420"/>
        <w:jc w:val="both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30"/>
        </w:rPr>
        <w:t>执行摘要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F9AA2">
            <w:pPr>
              <w:jc w:val="center"/>
              <w:rPr>
                <w:b w:val="1"/>
                <w:bCs w:val="1"/>
                <w:color w:val="616161"/>
              </w:rPr>
            </w:pPr>
            <w:r>
              <w:rPr>
                <w:rFonts w:hint="eastAsia" w:ascii="SimHei" w:hAnsi="SimHei" w:eastAsia="SimHei" w:cs="SimHei"/>
                <w:b w:val="1"/>
                <w:color w:val="616161"/>
                <w:sz w:val="19"/>
              </w:rPr>
              <w:t>试点范围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9269">
            <w:pPr>
              <w:jc w:val="center"/>
              <w:rPr>
                <w:b w:val="1"/>
                <w:bCs w:val="1"/>
                <w:color w:val="616161"/>
              </w:rPr>
            </w:pPr>
            <w:r>
              <w:rPr>
                <w:rFonts w:hint="eastAsia" w:ascii="SimHei" w:hAnsi="SimHei" w:eastAsia="SimHei" w:cs="SimHei"/>
                <w:b w:val="1"/>
                <w:color w:val="616161"/>
                <w:sz w:val="19"/>
              </w:rPr>
              <w:t>人工介入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C958C">
            <w:pPr>
              <w:jc w:val="center"/>
              <w:rPr>
                <w:b w:val="1"/>
                <w:bCs w:val="1"/>
                <w:color w:val="616161"/>
              </w:rPr>
            </w:pPr>
            <w:r>
              <w:rPr>
                <w:rFonts w:hint="eastAsia" w:ascii="SimHei" w:hAnsi="SimHei" w:eastAsia="SimHei" w:cs="SimHei"/>
                <w:b w:val="1"/>
                <w:color w:val="616161"/>
                <w:sz w:val="19"/>
              </w:rPr>
              <w:t>异常对账工时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DF183">
            <w:pPr>
              <w:jc w:val="center"/>
              <w:rPr>
                <w:b w:val="1"/>
                <w:bCs w:val="1"/>
                <w:color w:val="616161"/>
              </w:rPr>
            </w:pPr>
            <w:r>
              <w:rPr>
                <w:rFonts w:hint="eastAsia" w:ascii="SimHei" w:hAnsi="SimHei" w:eastAsia="SimHei" w:cs="SimHei"/>
                <w:b w:val="1"/>
                <w:color w:val="616161"/>
                <w:sz w:val="19"/>
              </w:rPr>
              <w:t>试点报价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F3D820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19"/>
              </w:rPr>
              <w:t>1 个批次 · 40 份账单 · 4 周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5ABE72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19"/>
              </w:rPr>
              <w:t>10 处 → 3 处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3E4914B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19"/>
              </w:rPr>
              <w:t>55 → ≤25 分钟/份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0701E8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19"/>
              </w:rPr>
              <w:t>25.44 万元</w:t>
            </w:r>
          </w:p>
        </w:tc>
      </w:tr>
    </w:tbl>
    <w:p w14:paraId="5A486426">
      <w:pPr>
        <w:pBdr>
          <w:left w:val="single" w:color="1565c0" w:sz="32"/>
        </w:pBdr>
        <w:shd w:val="clear" w:fill="f5f7fa"/>
        <w:spacing w:before="264" w:after="7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本方案只做一件事：把结算单上「同一个事实反复重建」的成本压掉，把判断与签字的责任留住。技术上采用脱敏只读旁路，不改造甲方现有系统，不做写回，所有模型输出仅为建议。</w:t>
      </w:r>
    </w:p>
    <w:p w14:paraId="6DE5810F">
      <w:pPr>
        <w:pBdr>
          <w:left w:val="single" w:color="1565c0" w:sz="32"/>
        </w:pBdr>
        <w:shd w:val="clear" w:fill="f5f7fa"/>
        <w:spacing w:before="264" w:after="7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方案按三阶段交付：试点 25.44 万元（106 人天）、推广 30.24 万元（126 人天）、平台化 24.96 万元（104 人天，可选）。建议先签试点，验收通过后再启动推广。文中所有效率数字均为试点目标值，须经实测校准。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8151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项目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4E5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33AC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方案编号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C837D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ST-SOL-2026-001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FA3F4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15AEC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V1.0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CE6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编制日期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AF55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2026 年 10 月 30 日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1132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文档性质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874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商务方案 + 报价文件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80B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保密级别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82EA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商业秘密 · 仅限双方项目组成员传阅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012D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适用主体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DFF6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上海外综服国际贸易有限公司（以下简称"甲方"）</w:t>
            </w:r>
          </w:p>
        </w:tc>
      </w:tr>
    </w:tbl>
    <w:p w14:paraId="41BE4D96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重要声明</w:t>
      </w:r>
      <w:r>
        <w:rPr>
          <w:rFonts w:hint="eastAsia" w:ascii="SimSun" w:hAnsi="SimSun" w:eastAsia="SimSun" w:cs="SimSun"/>
          <w:color w:val="212121"/>
          <w:sz w:val="24"/>
        </w:rPr>
        <w:t>：本方案所引用的现状数据、角色陈述与指标基线，均来自 2026 年 10 月完成的访谈演练报告，属于</w:t>
      </w:r>
      <w:r>
        <w:rPr>
          <w:rFonts w:hint="eastAsia" w:ascii="SimSun" w:hAnsi="SimSun" w:eastAsia="SimSun" w:cs="SimSun"/>
          <w:b w:val="1"/>
          <w:color w:val="212121"/>
          <w:sz w:val="24"/>
        </w:rPr>
        <w:t>待验证假设与合成样本</w:t>
      </w:r>
      <w:r>
        <w:rPr>
          <w:rFonts w:hint="eastAsia" w:ascii="SimSun" w:hAnsi="SimSun" w:eastAsia="SimSun" w:cs="SimSun"/>
          <w:color w:val="212121"/>
          <w:sz w:val="24"/>
        </w:rPr>
        <w:t>，不代表甲方真实经营数据。文中"55 分钟/份""160 份/月"等数字为访谈中的虚构基线，仅用于方案设计参照。方案中所有效率承诺均为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试点目标值</w:t>
      </w:r>
      <w:r>
        <w:rPr>
          <w:rFonts w:hint="eastAsia" w:ascii="SimSun" w:hAnsi="SimSun" w:eastAsia="SimSun" w:cs="SimSun"/>
          <w:color w:val="212121"/>
          <w:sz w:val="24"/>
        </w:rPr>
        <w:t>，须经四周试点实测校准后方可作为商务承诺；调查覆盖率不等于验收通过。</w:t>
      </w:r>
    </w:p>
    <w:p w14:paraId="489F2D99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1C01550D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237e"/>
          <w:sz w:val="34"/>
        </w:rPr>
        <w:t>一、项目概述</w:t>
      </w:r>
      <w:bookmarkEnd w:id="1"/>
    </w:p>
    <w:p w14:paraId="73138B4A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本章说明项目要解决什么问题、达成什么目标，以及明确的边界在哪里。</w:t>
      </w:r>
    </w:p>
    <w:p w14:paraId="030132DD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1.1 项目背景</w:t>
      </w:r>
    </w:p>
    <w:p w14:paraId="5695812E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甲方代理费用结算业务当前依赖三类工具并行作业：内部服务台、业务台账与文件库。结算单在三个工具之间流转，缺少统一的关联编号，一线人员需要靠"文件名 + 记忆 + 群消息"判断哪一份是最新版本。</w:t>
      </w:r>
    </w:p>
    <w:p w14:paraId="09873E09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访谈中暴露的核心矛盾并不在于"人不够快"，而在于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同一个事实在不同环节被反复重建</w:t>
      </w:r>
      <w:r>
        <w:rPr>
          <w:rFonts w:hint="eastAsia" w:ascii="SimSun" w:hAnsi="SimSun" w:eastAsia="SimSun" w:cs="SimSun"/>
          <w:color w:val="212121"/>
          <w:sz w:val="24"/>
        </w:rPr>
        <w:t>：费用在登记时写一遍，取证时从凭证再抄一遍，核对时再比一遍，客户问起时又要从头解释一遍。核对动作本身不创造价值，但没有它就没人敢签字。</w:t>
      </w:r>
    </w:p>
    <w:p w14:paraId="3BF31BC4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本方案要解决的不是"把人换成机器"，而是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把重复重建的成本压掉，把判断与签字的责任留住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BE4B05A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1.2 项目目标</w:t>
      </w:r>
    </w:p>
    <w:p w14:paraId="50B4BD35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试点期以四条可验证目标为准，不做泛化承诺：</w:t>
      </w:r>
    </w:p>
    <w:p w14:paraId="52A356CF">
      <w:pPr>
        <w:numPr>
          <w:ilvl w:val="0"/>
          <w:numId w:val="1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费用来源可追溯</w:t>
      </w:r>
      <w:r>
        <w:rPr>
          <w:rFonts w:hint="eastAsia" w:ascii="SimSun" w:hAnsi="SimSun" w:eastAsia="SimSun" w:cs="SimSun"/>
          <w:color w:val="212121"/>
          <w:sz w:val="24"/>
        </w:rPr>
        <w:t>：40 份试点账单 100% 可定位到原始凭证（文件 + 位置 + 字段），而不是给一段摘要。</w:t>
      </w:r>
    </w:p>
    <w:p w14:paraId="220F5B84">
      <w:pPr>
        <w:numPr>
          <w:ilvl w:val="0"/>
          <w:numId w:val="1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重复识别不越权</w:t>
      </w:r>
      <w:r>
        <w:rPr>
          <w:rFonts w:hint="eastAsia" w:ascii="SimSun" w:hAnsi="SimSun" w:eastAsia="SimSun" w:cs="SimSun"/>
          <w:color w:val="212121"/>
          <w:sz w:val="24"/>
        </w:rPr>
        <w:t>：跨币种疑似重复项只提示、不自动删除，保留原行与原始版本，供人工判断责任。</w:t>
      </w:r>
    </w:p>
    <w:p w14:paraId="31D85E45">
      <w:pPr>
        <w:numPr>
          <w:ilvl w:val="0"/>
          <w:numId w:val="1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版本唯一可判</w:t>
      </w:r>
      <w:r>
        <w:rPr>
          <w:rFonts w:hint="eastAsia" w:ascii="SimSun" w:hAnsi="SimSun" w:eastAsia="SimSun" w:cs="SimSun"/>
          <w:color w:val="212121"/>
          <w:sz w:val="24"/>
        </w:rPr>
        <w:t>：以"版本有效期 + 确认状态"双条件唯一确定最新版本，不再依赖文件名。</w:t>
      </w:r>
    </w:p>
    <w:p w14:paraId="28110E91">
      <w:pPr>
        <w:numPr>
          <w:ilvl w:val="0"/>
          <w:numId w:val="1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核对工时下降</w:t>
      </w:r>
      <w:r>
        <w:rPr>
          <w:rFonts w:hint="eastAsia" w:ascii="SimSun" w:hAnsi="SimSun" w:eastAsia="SimSun" w:cs="SimSun"/>
          <w:color w:val="212121"/>
          <w:sz w:val="24"/>
        </w:rPr>
        <w:t>：异常对账单份工时从访谈基线 55 分钟降至 25 分钟以内（试点目标值，实测校准）。</w:t>
      </w:r>
    </w:p>
    <w:p w14:paraId="07816DA4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1.3 建设范围与边界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CC2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范围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8D05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FBD0C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在范围内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A6F6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一个批次的代理费用结算单（试点 40 份）；费用登记、取证、映射、交接、核对、疑点裁定、确认、审批、归档全链路；只读数据接入；留痕与审计视图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AA37D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明确排除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C58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自动付款；真实税务处理与税务判定；修改已确认账单；向甲方现有系统写回数据；开放外部消息或执行接口；替代授权人签字</w:t>
            </w:r>
          </w:p>
        </w:tc>
      </w:tr>
    </w:tbl>
    <w:p w14:paraId="7A70F8D3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边界来自访谈中的两条硬约束，方案全程遵守：</w:t>
      </w:r>
    </w:p>
    <w:p w14:paraId="337DF8A2">
      <w:pPr>
        <w:numPr>
          <w:ilvl w:val="0"/>
          <w:numId w:val="2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甲方系统仅开放</w:t>
      </w:r>
      <w:r>
        <w:rPr>
          <w:rFonts w:hint="eastAsia" w:ascii="SimSun" w:hAnsi="SimSun" w:eastAsia="SimSun" w:cs="SimSun"/>
          <w:b w:val="1"/>
          <w:color w:val="212121"/>
          <w:sz w:val="24"/>
        </w:rPr>
        <w:t>脱敏只读导出</w:t>
      </w:r>
      <w:r>
        <w:rPr>
          <w:rFonts w:hint="eastAsia" w:ascii="SimSun" w:hAnsi="SimSun" w:eastAsia="SimSun" w:cs="SimSun"/>
          <w:color w:val="212121"/>
          <w:sz w:val="24"/>
        </w:rPr>
        <w:t>，写回、外部消息与执行接口均不开放。</w:t>
      </w:r>
    </w:p>
    <w:p w14:paraId="2F86AE16">
      <w:pPr>
        <w:numPr>
          <w:ilvl w:val="0"/>
          <w:numId w:val="2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对外承诺与正式结论仍由甲方业务人员确认，模型无审批权限。</w:t>
      </w:r>
    </w:p>
    <w:p w14:paraId="16A4EC15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03112E6F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a237e"/>
          <w:sz w:val="34"/>
        </w:rPr>
        <w:t>二、现状流程与问题定位</w:t>
      </w:r>
      <w:bookmarkEnd w:id="2"/>
    </w:p>
    <w:p w14:paraId="7D4D7395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本章还原现场的 13 个作业环节，并把访谈中反复出现的瓶颈落到证据编号上，先定位再谈方案。</w:t>
      </w:r>
    </w:p>
    <w:p w14:paraId="49260202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2.1 现状作业链路</w:t>
      </w:r>
    </w:p>
    <w:p w14:paraId="0EF4C05E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访谈还原的实际链路为 13 个环节：费用登记（草稿）→ 是否在客户截止前 → 凭证与合同服务项取证 → 服务项映射与缺项清单 → 交接登记 → 双人核对 → 关键字段与质量检查 → 跨币种重复项可否解释 → 版本可确认 → 正式确认 → 客户口径确认 → 审批放行 → 归档与审计。</w:t>
      </w:r>
    </w:p>
    <w:p w14:paraId="1F335C72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其中三个判断点决定流程走向：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截止时间、重复项可否解释、版本能否确认</w:t>
      </w:r>
      <w:r>
        <w:rPr>
          <w:rFonts w:hint="eastAsia" w:ascii="SimSun" w:hAnsi="SimSun" w:eastAsia="SimSun" w:cs="SimSun"/>
          <w:color w:val="212121"/>
          <w:sz w:val="24"/>
        </w:rPr>
        <w:t>。三者共同的特征是——一旦判断错误，错误会向下游传播且难以撤销，因此都不适合交给模型单独决定。</w:t>
      </w:r>
    </w:p>
    <w:p w14:paraId="74828224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2.2 五类瓶颈与证据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51C7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9BA3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瓶颈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831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现场表现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A40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访谈依据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7CB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业务影响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17491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2E2DF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费用名称与合同服务项不一致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E33F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结算说明反复改写，同一笔费用每次叫法不同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13C65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f10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E50E2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重复核对的主因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C8606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EE38F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跨币种重复录入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2FC5A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同一运输费被不同币种两张凭证重复录入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06997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f11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666AD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责任难判，易错付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01885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2A1BC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回填时间污染追溯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142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先用群消息解决，再补填表格，回填时间被当作发生时间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6D39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f13、f34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6661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时间线失真，审计不可信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878F1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BF47A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无统一关联编号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A50EC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三类工具各存一份，靠字段组合与人工记忆匹配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BB555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f30、f31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E301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一对多匹配，易漏易重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B8951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E5003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跨团队目标不一致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B4236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业务看确认速度，财务要凭证完整与口径一致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E5AA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f50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019D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冲突在临门一脚爆发</w:t>
            </w:r>
          </w:p>
        </w:tc>
      </w:tr>
    </w:tbl>
    <w:p w14:paraId="3ACBC428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2.3 现状量化基线（虚构样本，仅作设计参照）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766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指标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0D73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访谈基线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547F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CDDF8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月结算量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56C60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160 份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6F38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模拟值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C7B62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异常对账单份工时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5889B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55 分钟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81A4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含取证、比对、改写说明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B0FC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人工介入环节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7B8BF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10 处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FAF0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全链路 13 步中的关键动作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2535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确认完整率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11B9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未测量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B745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试点期需先建立基线</w:t>
            </w:r>
          </w:p>
        </w:tc>
      </w:tr>
    </w:tbl>
    <w:p w14:paraId="18CFCEA8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28C88726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a237e"/>
          <w:sz w:val="34"/>
        </w:rPr>
        <w:t>三、总体设计方案</w:t>
      </w:r>
      <w:bookmarkEnd w:id="3"/>
    </w:p>
    <w:p w14:paraId="63788111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本章给出架构、流程、人机分工与四个关键场景的设计，全部设计遵守「只读旁路」与「人在环」两条前提。</w:t>
      </w:r>
    </w:p>
    <w:p w14:paraId="7379C882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3.1 设计原则</w:t>
      </w:r>
    </w:p>
    <w:p w14:paraId="1CE53940">
      <w:pPr>
        <w:numPr>
          <w:ilvl w:val="0"/>
          <w:numId w:val="3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只读旁路，不改造甲方系统</w:t>
      </w:r>
      <w:r>
        <w:rPr>
          <w:rFonts w:hint="eastAsia" w:ascii="SimSun" w:hAnsi="SimSun" w:eastAsia="SimSun" w:cs="SimSun"/>
          <w:color w:val="212121"/>
          <w:sz w:val="24"/>
        </w:rPr>
        <w:t>。所有数据经脱敏只读导出进入本方案，不做写回，不触碰生产库。</w:t>
      </w:r>
    </w:p>
    <w:p w14:paraId="675F56F8">
      <w:pPr>
        <w:numPr>
          <w:ilvl w:val="0"/>
          <w:numId w:val="3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机器负责"找得到、算得准、留得住"，人负责"判得清、签得下、担得起"</w:t>
      </w:r>
      <w:r>
        <w:rPr>
          <w:rFonts w:hint="eastAsia" w:ascii="SimSun" w:hAnsi="SimSun" w:eastAsia="SimSun" w:cs="SimSun"/>
          <w:color w:val="212121"/>
          <w:sz w:val="24"/>
        </w:rPr>
        <w:t>。模型输出统一标注为"建议"，不产生正式结论。</w:t>
      </w:r>
    </w:p>
    <w:p w14:paraId="2782F0D3">
      <w:pPr>
        <w:numPr>
          <w:ilvl w:val="0"/>
          <w:numId w:val="3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不可逆动作前置确定性校验</w:t>
      </w:r>
      <w:r>
        <w:rPr>
          <w:rFonts w:hint="eastAsia" w:ascii="SimSun" w:hAnsi="SimSun" w:eastAsia="SimSun" w:cs="SimSun"/>
          <w:color w:val="212121"/>
          <w:sz w:val="24"/>
        </w:rPr>
        <w:t>。删除、覆盖、放行三类动作前，一律置人工闸口。</w:t>
      </w:r>
    </w:p>
    <w:p w14:paraId="02BC0483">
      <w:pPr>
        <w:numPr>
          <w:ilvl w:val="0"/>
          <w:numId w:val="3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每条结论必须有来源</w:t>
      </w:r>
      <w:r>
        <w:rPr>
          <w:rFonts w:hint="eastAsia" w:ascii="SimSun" w:hAnsi="SimSun" w:eastAsia="SimSun" w:cs="SimSun"/>
          <w:color w:val="212121"/>
          <w:sz w:val="24"/>
        </w:rPr>
        <w:t>。无来源定位的结果视为无效结果，不进复核队列。</w:t>
      </w:r>
    </w:p>
    <w:p w14:paraId="06C99645">
      <w:pPr>
        <w:numPr>
          <w:ilvl w:val="0"/>
          <w:numId w:val="3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保守优先于聪明</w:t>
      </w:r>
      <w:r>
        <w:rPr>
          <w:rFonts w:hint="eastAsia" w:ascii="SimSun" w:hAnsi="SimSun" w:eastAsia="SimSun" w:cs="SimSun"/>
          <w:color w:val="212121"/>
          <w:sz w:val="24"/>
        </w:rPr>
        <w:t>。置信度不足时宁可不给建议，也不给一个看起来很像答案的猜测。</w:t>
      </w:r>
    </w:p>
    <w:p w14:paraId="16EA7FF9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3.2 总体架构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2DF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层级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33F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组成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BCED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关键约束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1390B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接入层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B4041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脱敏只读导出通道、文件上传通道（发票 / 合同 / 台账）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6DA4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不写回、不开放执行接口、不接外部消息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E9B34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数据层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AF6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结算单主档、字段级来源定位、双时间戳、版本链、缺失值与未确认值标记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F7F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以结算演练编号为唯一键；过期来源不得覆盖已确认版本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CFEEA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能力层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BA87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多模态文档抽取、服务项语义映射、规则引擎 + 查重模型、差异归因、缺项清单与报告生成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7A7B0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每个输出附置信度与依据链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1820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应用层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8A53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建单台、取证台、人机复核台、疑点裁定台、确认与审批、留痕审计视图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2C3C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所有人工动作可回放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E2CF3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治理层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2DC5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角色权限（RBAC）、跨企业资料授权范围、三段式留痕、模型版本登记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6662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审计可回答"谁查过、用哪个版本、什么建议、谁确认"</w:t>
            </w:r>
          </w:p>
        </w:tc>
      </w:tr>
    </w:tbl>
    <w:p w14:paraId="104D0A52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3.3 数智化后的作业流程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A6C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2F2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环节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B79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执行主体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EC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关键动作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A65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控制点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D8F10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01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91BD1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智能建单登记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C950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9ED6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解析邮件 / 附件 / 台账，字段预填，保留原文件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59555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模型无审批权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B50C5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02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0229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截止时间校验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CB1D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97A0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按客户日历判定，超期自动挂起并生成缺项清单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59CB9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不默认通过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5001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03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4F78A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凭证与合同取证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C7D8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辅助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D8BE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抽取 5 个关键字段，三源交叉校验，冲突标红附原文页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107F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冲突必转人工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03E01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04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10A8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服务项智能映射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0680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辅助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434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费用名称与合同服务项语义匹配，输出候选与分值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7708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低置信转人工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6ED24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05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753B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交接登记与快照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453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B3E28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版本号、未结项挂账、接收人电子签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58C51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未确认项不得挂他人名下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BD0D9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06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B8CF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机器预核对 + 人工复核差异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7C7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辅助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A686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全字段自动比对，仅推送差异项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7530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人工确认后才闭环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62BE2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07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FB399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质量检查与智能查重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8212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E682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重复编号、空时间、版本断链、单位差异四类规则 + 历史查重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27E2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只提示不删除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F0685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08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AE8DD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疑点可否解释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1B93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人工裁定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AB8E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模型给重复概率与依据链，人工判断责任归属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217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保留原行与原始版本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144E7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09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E9882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 / 字段可确认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30FD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FC414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有效期 + 确认状态双条件判定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598B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不可确认即派单转人工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392BA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23BE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正式确认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5B239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人工闸口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F5200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授权负责人电子签，系统校验权限与完整性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7DE1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系统不代签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659E6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11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94DED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客户口径确认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1FC74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辅助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BD976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自动生成差异解释草稿，人工定稿后对外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B57CE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不推测客户意图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A2F61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B753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审批放行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F3C81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人工闸口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49E22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规则前置校验，仅异常与跨企业访问上会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2EABD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授权范围硬校验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4723D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13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CFE0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归档与审计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3E04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9C512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全链路留痕，一键追溯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EA9E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原始版本 + 修订原因 + 确认人</w:t>
            </w:r>
          </w:p>
        </w:tc>
      </w:tr>
    </w:tbl>
    <w:p w14:paraId="5E4B7F8B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3.4 人机分工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20FF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分工类型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4763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环节数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5976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具体环节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EEB8F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6F63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91C4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建单、截止校验、交接快照、质量与查重、版本判定、归档留痕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E963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辅助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4CD23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CCCC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取证抽取、服务项映射、预核对、口径草稿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35741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人工介入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0396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F038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疑点裁定、正式确认（电子签）、审批放行</w:t>
            </w:r>
          </w:p>
        </w:tc>
      </w:tr>
    </w:tbl>
    <w:p w14:paraId="66FB112E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对比现状 10 处人工，人工介入压缩至 3 处，且</w:t>
      </w:r>
      <w:r>
        <w:rPr>
          <w:rFonts w:hint="eastAsia" w:ascii="SimSun" w:hAnsi="SimSun" w:eastAsia="SimSun" w:cs="SimSun"/>
          <w:b w:val="1"/>
          <w:color w:val="212121"/>
          <w:sz w:val="24"/>
        </w:rPr>
        <w:t>压缩的全部是重复执行动作，未压缩任何判断与签字动作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6F9DEAE5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3.5 四个关键场景设计</w:t>
      </w:r>
    </w:p>
    <w:p w14:paraId="5E39B5AA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四个场景分别对应工时最高、返工最多、风险最集中的四个动作，逐一说明机器做什么、人接什么。</w:t>
      </w:r>
    </w:p>
    <w:p w14:paraId="776396F4">
      <w:pPr>
        <w:pStyle w:val="00000f"/>
        <w:keepNext w:val="1"/>
        <w:keepLines w:val="1"/>
        <w:spacing w:before="240" w:beforeAutospacing="1" w:after="96" w:afterAutospacing="1" w:line="420"/>
        <w:outlineLvl w:val="3"/>
        <w:rPr>
          <w:color w:val="212121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212121"/>
          <w:sz w:val="24"/>
        </w:rPr>
        <w:t>3.5.1 取证：多模态抽取 + 三源交叉</w:t>
      </w:r>
    </w:p>
    <w:p w14:paraId="6E90209B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对每份结算单关联的发票、合同、台账做结构化抽取，目标字段为：结算演练编号、服务项、原币种、汇率日期、凭证编号。同一字段从三个来源各抽一次，三者一致则落值并标注"三源一致"；不一致则标红并列出三个来源的原文页码，转人工确认。抽取结果一律带 </w:t>
      </w:r>
      <w:r>
        <w:rPr>
          <w:rFonts w:ascii="Consolas" w:hAnsi="Consolas" w:eastAsia="Consolas" w:cs="Consolas"/>
          <w:color w:val="1565c0"/>
          <w:sz w:val="20"/>
        </w:rPr>
        <w:t>source_locator</w:t>
      </w:r>
      <w:r>
        <w:rPr>
          <w:rFonts w:hint="eastAsia" w:ascii="SimSun" w:hAnsi="SimSun" w:eastAsia="SimSun" w:cs="SimSun"/>
          <w:color w:val="212121"/>
          <w:sz w:val="24"/>
        </w:rPr>
        <w:t>（文件名 + 页码 / 行号 + 字段名），无定位的结果不落库。</w:t>
      </w:r>
    </w:p>
    <w:p w14:paraId="6B702159">
      <w:pPr>
        <w:pStyle w:val="00000f"/>
        <w:keepNext w:val="1"/>
        <w:keepLines w:val="1"/>
        <w:spacing w:before="240" w:beforeAutospacing="1" w:after="96" w:afterAutospacing="1" w:line="420"/>
        <w:outlineLvl w:val="3"/>
        <w:rPr>
          <w:color w:val="212121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212121"/>
          <w:sz w:val="24"/>
        </w:rPr>
        <w:t>3.5.2 映射：语义匹配 + 缺项清单</w:t>
      </w:r>
    </w:p>
    <w:p w14:paraId="34755A8E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费用名称与合同服务项之间建立向量匹配 + 同义词库双通道。置信度 ≥ 0.90 自动落映射并标记"待确认"；0.70–0.90 给出前三个候选供人工点选；&lt; 0.70 直接进人工队列。所有映射关系沉淀为映射表，同一费用名称第二次出现时不再重复判断，这是减少返工的主要来源。</w:t>
      </w:r>
    </w:p>
    <w:p w14:paraId="68D9F672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缺项清单遵循"一页原则"：只列缺什么、缺在哪份文件的哪一页、由谁补、影响哪一步，不生成泛化摘要。补录后须签字，签字动作本身即"该字段已被人工确认"的状态位。</w:t>
      </w:r>
    </w:p>
    <w:p w14:paraId="001014AF">
      <w:pPr>
        <w:pStyle w:val="00000f"/>
        <w:keepNext w:val="1"/>
        <w:keepLines w:val="1"/>
        <w:spacing w:before="240" w:beforeAutospacing="1" w:after="96" w:afterAutospacing="1" w:line="420"/>
        <w:outlineLvl w:val="3"/>
        <w:rPr>
          <w:color w:val="212121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212121"/>
          <w:sz w:val="24"/>
        </w:rPr>
        <w:t>3.5.3 核对：机器预核对 + 差异复核</w:t>
      </w:r>
    </w:p>
    <w:p w14:paraId="14A6BF41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机器对全字段做比对，输出三类结果：一致、差异、缺失。人工只处理差异与缺失，一致项折叠不展示但保留可展开。差异按影响金额与是否影响结论排序，默认展示前 10 项。这是工时下降最直接的一环，目标由 55 分钟降至 25 分钟以内。</w:t>
      </w:r>
    </w:p>
    <w:p w14:paraId="569006DE">
      <w:pPr>
        <w:pStyle w:val="00000f"/>
        <w:keepNext w:val="1"/>
        <w:keepLines w:val="1"/>
        <w:spacing w:before="240" w:beforeAutospacing="1" w:after="96" w:afterAutospacing="1" w:line="420"/>
        <w:outlineLvl w:val="3"/>
        <w:rPr>
          <w:color w:val="212121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212121"/>
          <w:sz w:val="24"/>
        </w:rPr>
        <w:t>3.5.4 裁定：查重提示不自动删除</w:t>
      </w:r>
    </w:p>
    <w:p w14:paraId="4BBADCD9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查重模型输出"重复概率 + 依据链"（比对的是哪两行、币种换算用了什么汇率、换算后差额多少）。系统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不提供删除按钮</w:t>
      </w:r>
      <w:r>
        <w:rPr>
          <w:rFonts w:hint="eastAsia" w:ascii="SimSun" w:hAnsi="SimSun" w:eastAsia="SimSun" w:cs="SimSun"/>
          <w:color w:val="212121"/>
          <w:sz w:val="24"/>
        </w:rPr>
        <w:t>，只提供"标记为疑似重复"与"判定为非重复并填写理由"两个动作。判定结果写入原行，原行与原始版本永久保留。这一设计牺牲了自动化率，换取的是责任可归属。</w:t>
      </w:r>
    </w:p>
    <w:p w14:paraId="3715E548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3.6 数据设计要点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1DC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设计项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EBDC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C88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唯一键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3033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结算演练编号；无编号的历史单据分配临时键并标记"待补编号"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B013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双时间戳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B585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每字段同时记录业务发生时间与系统接收时间，回填场景下二者不等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9566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版本链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3DAD0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版本号 + 有效期起止 + 确认状态；作废版本保留原因，不物理删除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B5A59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三态字段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59DB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有值 / 缺失（原本就没有）/ 未确认（有值但未签字）三者互斥，不得混用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D94B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来源定位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6631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每个取值可回溯到文件、页码 / 行号、字段名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7039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快照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7BBF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读取失败时保留上次快照并标记时间，不编造最新状态、不静默重试</w:t>
            </w:r>
          </w:p>
        </w:tc>
      </w:tr>
    </w:tbl>
    <w:p w14:paraId="55225F39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3.7 集成方案</w:t>
      </w:r>
    </w:p>
    <w:p w14:paraId="7B90E634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按甲方现有能力，采用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只读旁路</w:t>
      </w:r>
      <w:r>
        <w:rPr>
          <w:rFonts w:hint="eastAsia" w:ascii="SimSun" w:hAnsi="SimSun" w:eastAsia="SimSun" w:cs="SimSun"/>
          <w:color w:val="212121"/>
          <w:sz w:val="24"/>
        </w:rPr>
        <w:t>集成：通过脱敏只读导出定时拉取（建议每日一次增量 + 按需立即导出），系统不持有生产库连接，不做写回。所有人工操作结果以"建议 + 差异清单"形式导出，由甲方人员在原系统中执行，本系统只记录"已建议 / 已执行确认"。</w:t>
      </w:r>
    </w:p>
    <w:p w14:paraId="0F8E93F1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这一取舍的直接后果是：自动化率低于"全量集成"方案，但实施周期短、无生产风险、无需甲方系统改造，与四周试点的时间窗匹配。</w:t>
      </w:r>
    </w:p>
    <w:p w14:paraId="59DF1B60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3.8 安全与审计</w:t>
      </w:r>
    </w:p>
    <w:p w14:paraId="45CBFC68">
      <w:pPr>
        <w:numPr>
          <w:ilvl w:val="0"/>
          <w:numId w:val="4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权限</w:t>
      </w:r>
      <w:r>
        <w:rPr>
          <w:rFonts w:hint="eastAsia" w:ascii="SimSun" w:hAnsi="SimSun" w:eastAsia="SimSun" w:cs="SimSun"/>
          <w:color w:val="212121"/>
          <w:sz w:val="24"/>
        </w:rPr>
        <w:t>：按角色 + 数据范围双维度控制，跨企业资料按明确授权范围访问，越权访问直接拒绝并留痕。</w:t>
      </w:r>
    </w:p>
    <w:p w14:paraId="27A775A0">
      <w:pPr>
        <w:numPr>
          <w:ilvl w:val="0"/>
          <w:numId w:val="4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审核点</w:t>
      </w:r>
      <w:r>
        <w:rPr>
          <w:rFonts w:hint="eastAsia" w:ascii="SimSun" w:hAnsi="SimSun" w:eastAsia="SimSun" w:cs="SimSun"/>
          <w:color w:val="212121"/>
          <w:sz w:val="24"/>
        </w:rPr>
        <w:t>：正式结论确认、异常放行、跨企业资料访问三类动作固定为人工审批点。</w:t>
      </w:r>
    </w:p>
    <w:p w14:paraId="6EFBF355">
      <w:pPr>
        <w:numPr>
          <w:ilvl w:val="0"/>
          <w:numId w:val="4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留痕</w:t>
      </w:r>
      <w:r>
        <w:rPr>
          <w:rFonts w:hint="eastAsia" w:ascii="SimSun" w:hAnsi="SimSun" w:eastAsia="SimSun" w:cs="SimSun"/>
          <w:color w:val="212121"/>
          <w:sz w:val="24"/>
        </w:rPr>
        <w:t>：查询、建议、确认三段分别留痕，审计视图可回答"谁查过、用哪个版本、提出什么建议、谁确认"。</w:t>
      </w:r>
    </w:p>
    <w:p w14:paraId="50068164">
      <w:pPr>
        <w:numPr>
          <w:ilvl w:val="0"/>
          <w:numId w:val="4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模型登记</w:t>
      </w:r>
      <w:r>
        <w:rPr>
          <w:rFonts w:hint="eastAsia" w:ascii="SimSun" w:hAnsi="SimSun" w:eastAsia="SimSun" w:cs="SimSun"/>
          <w:color w:val="212121"/>
          <w:sz w:val="24"/>
        </w:rPr>
        <w:t>：每次建议记录模型版本与提示词版本，便于回溯误判来源。</w:t>
      </w:r>
    </w:p>
    <w:p w14:paraId="237E1F1E">
      <w:pPr>
        <w:numPr>
          <w:ilvl w:val="0"/>
          <w:numId w:val="4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数据清理</w:t>
      </w:r>
      <w:r>
        <w:rPr>
          <w:rFonts w:hint="eastAsia" w:ascii="SimSun" w:hAnsi="SimSun" w:eastAsia="SimSun" w:cs="SimSun"/>
          <w:color w:val="212121"/>
          <w:sz w:val="24"/>
        </w:rPr>
        <w:t>：练习结束后按项目约定删除虚构个人字段。</w:t>
      </w:r>
    </w:p>
    <w:p w14:paraId="718D8C31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3.9 非功能要求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9169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284A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2B4E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性能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E72B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单份结算单全量抽取 + 比对 ≤ 90 秒；40 份批量处理 ≤ 30 分钟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043B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可用性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5452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试点期工作时间可用性 ≥ 99%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15F5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准确性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E207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 个关键字段抽取准确率 ≥ 95%（以 40 份样本抽检为准）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6927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可解释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9E912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任一提示可展开到依据链与原文位置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4FF4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可回放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2602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任一结算单可回放完整操作与版本历史</w:t>
            </w:r>
          </w:p>
        </w:tc>
      </w:tr>
    </w:tbl>
    <w:p w14:paraId="26620317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12E20062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a237e"/>
          <w:sz w:val="34"/>
        </w:rPr>
        <w:t>四、实施计划</w:t>
      </w:r>
      <w:bookmarkEnd w:id="4"/>
    </w:p>
    <w:p w14:paraId="40E20237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本章按甲方四周试点的窗口倒排，并说明交付物与双方投入。</w:t>
      </w:r>
    </w:p>
    <w:p w14:paraId="70F479AA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4.1 总体节奏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8D9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阶段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6BD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周期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61D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目标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FD5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交付物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D4DF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阶段一 · 试点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3E071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4 周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A20E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40 份账单跑通全链路，验证四项硬指标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B96D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可用试点系统、缺项清单、试点复盘报告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564E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阶段二 · 推广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3CEB2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8 周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CC21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扩展至全批次与多主体，接入客户口径与报告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05616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生产版系统、运营手册、培训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3D97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阶段三 · 平台化（可选）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B8C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12 周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9D1F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多组织编排、模型运营、规则配置台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D4789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平台版、监控看板、合规材料</w:t>
            </w:r>
          </w:p>
        </w:tc>
      </w:tr>
    </w:tbl>
    <w:p w14:paraId="13F4C985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4.2 试点四周排期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8C9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周次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1A5A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主要工作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DBD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交付物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CCA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甲方投入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4B82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W0（准备）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F5F2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口径确认会、授权人名单、样本脱敏、验收标准签字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F8D1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口径确认纪要、40 份样本清单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9D6F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业务负责人 + 协调员，各 2 小时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5176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W1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6226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只读数据接入、建单台、字段与来源定位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22E4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建单可运行、样本导入报告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C99D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一线专员 3 小时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CC541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W2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6B3F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多模态抽取、三源交叉、服务项映射、缺项清单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0DF22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抽取准确率报告、映射表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2E1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一线专员 4 小时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906A3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W3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5978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机器预核对、查重提示、疑点裁定台、版本链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AEE7F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差异清单、疑点样本裁定记录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90AE8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专员 + 质量负责人，各 4 小时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8ED87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W4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E229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确认与审批、留痕审计、验收、复盘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5423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验收报告、复盘纪要、指标基线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FC232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业务负责人 + 客户代表，各 3 小时</w:t>
            </w:r>
          </w:p>
        </w:tc>
      </w:tr>
    </w:tbl>
    <w:p w14:paraId="0082CEDE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排期已按甲方"两名业务骨干、每周投入不超过 4 小时"的约束倒排，不占用业务高峰时段。若需增加评审会，将挤占开发时间而非压缩测试时间。</w:t>
      </w:r>
    </w:p>
    <w:p w14:paraId="52B9DD21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4.3 交付物清单</w:t>
      </w:r>
    </w:p>
    <w:p w14:paraId="5E308C35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试点版系统（含建单、取证、映射、核对、裁定、确认、审计七个模块）。</w:t>
      </w:r>
    </w:p>
    <w:p w14:paraId="61DA6D42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数据字典与字段口径说明（含三态字段、双时间戳定义）。</w:t>
      </w:r>
    </w:p>
    <w:p w14:paraId="74BC2DD0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服务项映射表（首版）。</w:t>
      </w:r>
    </w:p>
    <w:p w14:paraId="53B9AF1F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缺项清单模板与一页式报告模板。</w:t>
      </w:r>
    </w:p>
    <w:p w14:paraId="1D778787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试点验收报告与指标基线报告。</w:t>
      </w:r>
    </w:p>
    <w:p w14:paraId="41CC1030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运营手册与培训材料。</w:t>
      </w:r>
    </w:p>
    <w:p w14:paraId="7F22CD38">
      <w:pPr>
        <w:numPr>
          <w:ilvl w:val="0"/>
          <w:numId w:val="5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全部源代码与部署脚本（按合同约定授权范围内交付）。</w:t>
      </w:r>
    </w:p>
    <w:p w14:paraId="6F5412CA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4.4 项目组织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BA0C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角色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3532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人数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C34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主要职责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41B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项目经理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119B3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2764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计划、风险、对接、验收组织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E6419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业务分析师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8F521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118E2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口径澄清、字段定义、验收标准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E2C6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工程师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832C4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FA57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抽取、映射、查重模型与调优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B094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后端工程师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5609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86D9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数据层、规则引擎、接口与权限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7DC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前端工程师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2FDA3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F0B06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四个工作台与审计视图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29F3F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测试工程师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403D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AB7C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用例、回归、准确率抽检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3B255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实施顾问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2891A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0.5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49B99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培训、数据准备、复盘</w:t>
            </w:r>
          </w:p>
        </w:tc>
      </w:tr>
    </w:tbl>
    <w:p w14:paraId="7EE8B09F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4.5 甲方侧需配合事项</w:t>
      </w:r>
    </w:p>
    <w:p w14:paraId="5BCA445F">
      <w:pPr>
        <w:numPr>
          <w:ilvl w:val="0"/>
          <w:numId w:val="6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指定授权人名单与审批层级（业务负责人定，质量负责人核权限边界）。</w:t>
      </w:r>
    </w:p>
    <w:p w14:paraId="4785636F">
      <w:pPr>
        <w:numPr>
          <w:ilvl w:val="0"/>
          <w:numId w:val="6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明确重复判定口径与币种换算规则（否则查重只能给概率，不能给结论）。</w:t>
      </w:r>
    </w:p>
    <w:p w14:paraId="32E7B894">
      <w:pPr>
        <w:numPr>
          <w:ilvl w:val="0"/>
          <w:numId w:val="6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提供 40 份脱敏样本及对应凭证、合同、台账。</w:t>
      </w:r>
    </w:p>
    <w:p w14:paraId="72A2DEC3">
      <w:pPr>
        <w:numPr>
          <w:ilvl w:val="0"/>
          <w:numId w:val="6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每周一次 30 分钟站会 + 一次复盘，会后 1 个工作日内确认纪要。</w:t>
      </w:r>
    </w:p>
    <w:p w14:paraId="494A7C49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5E4C1FEB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a237e"/>
          <w:sz w:val="34"/>
        </w:rPr>
        <w:t>五、验收标准与评估方法</w:t>
      </w:r>
      <w:bookmarkEnd w:id="5"/>
    </w:p>
    <w:p w14:paraId="16EE5A78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本章区分硬性验收与效果指标：前者一票否决，后者只作实测记录，不换算成商务承诺。</w:t>
      </w:r>
    </w:p>
    <w:p w14:paraId="51953B51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5.1 硬性验收（一票否决）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DB5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D13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验收项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2E3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标准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CA5A4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费用来源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D416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40 份账单 100% 具备来源定位（文件 + 位置 + 字段）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A8849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F7F6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疑似重复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7C1E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自动删除次数为 0；每条提示保留原行与原始版本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8B8C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B0AC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版本判定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264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双条件可唯一确定最新版本，作废版本保留原因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59D33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7DC30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留痕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F770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可导出"谁查过、用哪个版本、什么建议、谁确认"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D4E2A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8B5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权限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A69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越权访问被拒绝且留痕</w:t>
            </w:r>
          </w:p>
        </w:tc>
      </w:tr>
    </w:tbl>
    <w:p w14:paraId="17588F61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5.2 效果指标（试点实测，不作承诺）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30F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指标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2AF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基线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9F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试点目标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1D010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异常对账单份工时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37DD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55 分钟（虚构基线）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4EE4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≤ 25 分钟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C65C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返工次数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4DEA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未测量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4AE2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建立基线并下降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F34A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确认完整率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0303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未测量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4A60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缺项清单闭环率 ≥ 95%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144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抽取准确率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95518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—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67A8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 字段 ≥ 95%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545C5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误报 / 漏报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10C66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—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21BFD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每周复盘并记录</w:t>
            </w:r>
          </w:p>
        </w:tc>
      </w:tr>
    </w:tbl>
    <w:p w14:paraId="1790C0D5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5.3 停止条件</w:t>
      </w:r>
    </w:p>
    <w:p w14:paraId="172184C8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出现下列情形之一，质量负责人有权暂停试点：关键字段无法确认且人工队列积压超过 20%；出现任何自动删除或自动修改已确认账单；越权访问未能拦截。</w:t>
      </w:r>
    </w:p>
    <w:p w14:paraId="1049FA41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2E2285CE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a237e"/>
          <w:sz w:val="34"/>
        </w:rPr>
        <w:t>六、风险与前置条件</w:t>
      </w:r>
      <w:bookmarkEnd w:id="6"/>
    </w:p>
    <w:p w14:paraId="4F61800F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本章列出七项风险及责任人，其中三项属甲方未闭环事项，会直接阻塞工期。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E6E0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EEC1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风险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F4E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影响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C482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应对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786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责任方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C671A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D859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授权人名单未定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051A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电子签环节无法上线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FBFBE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W0 前必须闭环，否则试点顺延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AA3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甲方业务负责人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91333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35C2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重复判定口径未核实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BE0D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查重只能给概率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A8B6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先按"提示不判定"设计，口径确认后再加规则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564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双方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E1F7C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AA9EB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版本链在三类工具中无法串起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3DE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版本判定失效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915A8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W1 用样本先行验证，不可行则降级为人工清单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0FB1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甲方工程师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3C5B2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F2B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回填时间无法区分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3E03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追溯失真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DA01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双时间戳强制，缺失则标记"时间不可信"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5A01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甲方工程师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B9DB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2AAE9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业务每周投入超 4 小时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1BC8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验收延期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460F6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排期预留缓冲，超时需书面调整范围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77B0A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双方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172EE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2EF6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指标基线为虚构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EDB5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效果无法比较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CA1A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试点首周先测真实基线，再谈提升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2BBC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双方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73E21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8D340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模型误判引发信任危机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7DB30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一线弃用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8FD1F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置信度分级 + 全量依据链 + 每周复盘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FA43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乙方</w:t>
            </w:r>
          </w:p>
        </w:tc>
      </w:tr>
    </w:tbl>
    <w:p w14:paraId="3B269D4F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6CA166C3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a237e"/>
          <w:sz w:val="34"/>
        </w:rPr>
        <w:t>七、报价说明</w:t>
      </w:r>
      <w:bookmarkEnd w:id="7"/>
    </w:p>
    <w:p w14:paraId="0EE2A03B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本章给出计价口径、三阶段报价与人天明细，并明确不含项，避免后期争议。</w:t>
      </w:r>
    </w:p>
    <w:p w14:paraId="3ED45987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7.1 计价口径</w:t>
      </w:r>
    </w:p>
    <w:p w14:paraId="765DA4BF">
      <w:pPr>
        <w:numPr>
          <w:ilvl w:val="0"/>
          <w:numId w:val="7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计价单位为人天（1 人天 = 8 小时），单价 </w:t>
      </w:r>
      <w:r>
        <w:rPr>
          <w:rFonts w:hint="eastAsia" w:ascii="SimSun" w:hAnsi="SimSun" w:eastAsia="SimSun" w:cs="SimSun"/>
          <w:b w:val="1"/>
          <w:color w:val="212121"/>
          <w:sz w:val="24"/>
        </w:rPr>
        <w:t>2,400 元/人天</w:t>
      </w:r>
      <w:r>
        <w:rPr>
          <w:rFonts w:hint="eastAsia" w:ascii="SimSun" w:hAnsi="SimSun" w:eastAsia="SimSun" w:cs="SimSun"/>
          <w:color w:val="212121"/>
          <w:sz w:val="24"/>
        </w:rPr>
        <w:t>，含 6% 增值税专用发票。</w:t>
      </w:r>
    </w:p>
    <w:p w14:paraId="4CA2A93C">
      <w:pPr>
        <w:numPr>
          <w:ilvl w:val="0"/>
          <w:numId w:val="7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报价基于本方案第三章范围与第四章排期；范围变更按变更单另行计价。</w:t>
      </w:r>
    </w:p>
    <w:p w14:paraId="5666B7E4">
      <w:pPr>
        <w:numPr>
          <w:ilvl w:val="0"/>
          <w:numId w:val="7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报价有效期 </w:t>
      </w:r>
      <w:r>
        <w:rPr>
          <w:rFonts w:hint="eastAsia" w:ascii="SimSun" w:hAnsi="SimSun" w:eastAsia="SimSun" w:cs="SimSun"/>
          <w:b w:val="1"/>
          <w:color w:val="212121"/>
          <w:sz w:val="24"/>
        </w:rPr>
        <w:t>60 日</w:t>
      </w:r>
      <w:r>
        <w:rPr>
          <w:rFonts w:hint="eastAsia" w:ascii="SimSun" w:hAnsi="SimSun" w:eastAsia="SimSun" w:cs="SimSun"/>
          <w:color w:val="212121"/>
          <w:sz w:val="24"/>
        </w:rPr>
        <w:t>，自方案出具日起算。</w:t>
      </w:r>
    </w:p>
    <w:p w14:paraId="11B0F563">
      <w:pPr>
        <w:numPr>
          <w:ilvl w:val="0"/>
          <w:numId w:val="7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下述金额为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参考报价</w:t>
      </w:r>
      <w:r>
        <w:rPr>
          <w:rFonts w:hint="eastAsia" w:ascii="SimSun" w:hAnsi="SimSun" w:eastAsia="SimSun" w:cs="SimSun"/>
          <w:color w:val="212121"/>
          <w:sz w:val="24"/>
        </w:rPr>
        <w:t>，需在 W0 口径确认后按实际范围校准；未确认前不构成要约。</w:t>
      </w:r>
    </w:p>
    <w:p w14:paraId="6B03C30D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7.2 三阶段报价总表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3730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阶段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A1B0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内容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ABB0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人天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58B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单价（元）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E8A3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金额（元）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DED0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阶段一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5C99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试点（4 周，40 份账单）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6D14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106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1BEC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2,400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F4975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254,400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2A96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阶段二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235F7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推广（8 周，全批次）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33070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126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B17EB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2,400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A1552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302,400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E8DA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阶段三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824F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平台化（12 周，可选）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62B4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104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3E2BB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2,400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38233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249,600</w:t>
            </w:r>
          </w:p>
        </w:tc>
      </w:tr>
      <w:tr>
        <w:trPr/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CA5A63">
            <w:pPr>
              <w:rPr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19"/>
              </w:rPr>
              <w:t>合计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D49019">
            <w:pPr>
              <w:rPr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19"/>
              </w:rPr>
              <w:t>全范围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E34AAE">
            <w:pPr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212121"/>
                <w:sz w:val="19"/>
              </w:rPr>
              <w:t>336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03D41D">
            <w:pPr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212121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30D81">
            <w:pPr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212121"/>
                <w:sz w:val="19"/>
              </w:rPr>
              <w:t>806,400</w:t>
            </w:r>
          </w:p>
        </w:tc>
      </w:tr>
    </w:tbl>
    <w:p w14:paraId="522BAC3B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组合建议</w:t>
      </w:r>
      <w:r>
        <w:rPr>
          <w:rFonts w:hint="eastAsia" w:ascii="SimSun" w:hAnsi="SimSun" w:eastAsia="SimSun" w:cs="SimSun"/>
          <w:color w:val="212121"/>
          <w:sz w:val="24"/>
        </w:rPr>
        <w:t>：先签阶段一（254,400 元），验收通过后再启动阶段二；阶段三视推广效果决定。此路径可将首次投入控制在 25 万级，且试点失败时损失可承受。</w:t>
      </w:r>
    </w:p>
    <w:p w14:paraId="59B5A3E5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7.3 阶段一明细（试点，106 人天）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17B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CFB6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工作项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F44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人天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FC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金额（元）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6524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9D59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业务口径与验收标准澄清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A1C57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7AA6F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24,000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1310B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87C0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只读数据接入与脱敏样本准备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0CDE1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4A5E1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28,800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ADFC1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6FDA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多模态抽取（5 字段 + 三源交叉）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E384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EFCC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43,200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CC82A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C83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服务项语义映射与缺项清单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8F39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33,600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BC48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7D611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机器预核对与差异复核台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A1312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1E7D2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38,400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F11ED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2FAC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查重提示与版本链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F2E4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A80FB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28,800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CAC7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9124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留痕与审计视图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CC8D8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19,200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E8098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D37C8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测试、验收、复盘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B3223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87A2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19,200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D986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9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BD73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项目管理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1123F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D8047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19,200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879A4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—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E738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小计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FF22B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19"/>
              </w:rPr>
              <w:t>106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E1692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19"/>
              </w:rPr>
              <w:t>254,400</w:t>
            </w:r>
          </w:p>
        </w:tc>
      </w:tr>
    </w:tbl>
    <w:p w14:paraId="3683B702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7.4 阶段二明细（推广，126 人天）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3277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35F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工作项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4FF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人天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D976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金额（元）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78072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04F05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全批次与多主体接入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76E5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77C9D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57,600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97685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1DB2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抽取准确率调优与样本扩增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55BB6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20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04F30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48,000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E3230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3AC29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客户口径确认与对外报告生成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2DCA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819A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38,400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85BDE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1640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权限体系与跨企业授权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373EC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87E7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33,600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84983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21E66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只读对接扩展与调度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CDB49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F2F09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43,200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D3669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CBBE0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培训与运营手册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2A5C1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4CA02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24,000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A832E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8135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测试与验收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04834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467BC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28,800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97DB4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76C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项目管理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46AAD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14A6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28,800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5EC1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—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E812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小计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DAA58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19"/>
              </w:rPr>
              <w:t>126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D81D0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19"/>
              </w:rPr>
              <w:t>302,400</w:t>
            </w:r>
          </w:p>
        </w:tc>
      </w:tr>
    </w:tbl>
    <w:p w14:paraId="09383F53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7.5 阶段三明细（平台化，104 人天，可选）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C9F5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6D4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工作项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746C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人天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DD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金额（元）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7F79D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E878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多组织与多批次编排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859A2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30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4AA23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72,000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6AF07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93C3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模型运营与效果监控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3539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0488E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57,600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210AA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0479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规则与模板配置台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6119F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20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96547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48,000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F7C63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4CF0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合规加固与审计导出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A81FA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E11F9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38,400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A7F9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C8E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项目管理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A30C8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1A287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33,600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334DA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—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54CDE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小计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21053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19"/>
              </w:rPr>
              <w:t>104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35BCB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19"/>
              </w:rPr>
              <w:t>249,600</w:t>
            </w:r>
          </w:p>
        </w:tc>
      </w:tr>
    </w:tbl>
    <w:p w14:paraId="32A70344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7.6 可选服务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B33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项目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7DB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说明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E3B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报价（元）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5D78E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私有化部署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B900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含 GPU 环境适配、模型私有化、两年授权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8789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220,000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8C767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等保二级测评支持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0EF64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差距分析、整改建议、材料配合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E836F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80,000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586D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驻场支持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B55DF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按需驻场，含差旅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178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3,500 元/人天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E3188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额外培训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3EBB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半天一场，含教材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3A2A7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12,000 元/场</w:t>
            </w:r>
          </w:p>
        </w:tc>
      </w:tr>
    </w:tbl>
    <w:p w14:paraId="1684A246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7.7 运维服务（年度）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0C4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档位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689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内容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F865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年费（元）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C6BD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基础运维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845F0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7×8 响应、月度巡检、季度复盘报告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3A9F7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98,000</w:t>
            </w:r>
          </w:p>
        </w:tc>
      </w:tr>
      <w:tr>
        <w:trPr/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BB86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增强运维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91E5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基础 + 模型月度调优 + 指标看板维护</w:t>
            </w:r>
          </w:p>
        </w:tc>
        <w:tc>
          <w:tcPr>
            <w:tcW w:w="276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6112C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168,000</w:t>
            </w:r>
          </w:p>
        </w:tc>
      </w:tr>
    </w:tbl>
    <w:p w14:paraId="450FEC77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7.8 商务条款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F4BA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条款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CB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784B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付款节点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6A16A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合同签订 30%；试点验收 30%；推广上线 30%；质保期满 10%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285CF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工期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7E75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试点 4 周（自样本与授权齐备起算）；推广 8 周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0C5CE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质保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1A190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交付验收后 3 个月，缺陷免费修复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9A087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知识产权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91A8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定制开发部分著作权归甲方；乙方保留通用组件与模型能力的所有权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7DB3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保密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7B5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双方签署保密协议，样本数据仅用于本项目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9CDD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数据清理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616F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项目结束后按约定删除虚构个人字段</w:t>
            </w:r>
          </w:p>
        </w:tc>
      </w:tr>
    </w:tbl>
    <w:p w14:paraId="226BB828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7.9 报价不含项</w:t>
      </w:r>
    </w:p>
    <w:p w14:paraId="421C4954">
      <w:pPr>
        <w:numPr>
          <w:ilvl w:val="0"/>
          <w:numId w:val="8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甲方侧硬件、GPU 服务器及带宽。</w:t>
      </w:r>
    </w:p>
    <w:p w14:paraId="50613B8A">
      <w:pPr>
        <w:numPr>
          <w:ilvl w:val="0"/>
          <w:numId w:val="8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第三方 OCR / 大模型 API 调用费（按实际用量据实结算，年用量预估 3 万元起）。</w:t>
      </w:r>
    </w:p>
    <w:p w14:paraId="094AB9D5">
      <w:pPr>
        <w:numPr>
          <w:ilvl w:val="0"/>
          <w:numId w:val="8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甲方现有系统的改造与接口开发（本方案采用只读旁路，不做写回）。</w:t>
      </w:r>
    </w:p>
    <w:p w14:paraId="2996083A">
      <w:pPr>
        <w:numPr>
          <w:ilvl w:val="0"/>
          <w:numId w:val="8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真实税务处理、审计鉴证与法律意见。</w:t>
      </w:r>
    </w:p>
    <w:p w14:paraId="20BF57E6">
      <w:pPr>
        <w:numPr>
          <w:ilvl w:val="0"/>
          <w:numId w:val="8"/>
        </w:numPr>
        <w:pBdr>
          <w:left w:space="26"/>
        </w:pBdr>
        <w:spacing w:before="72" w:after="72" w:line="420"/>
        <w:ind w:left="72" w:right="72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付款执行及任何资金操作。</w:t>
      </w:r>
    </w:p>
    <w:p w14:paraId="2BDFE7A0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50B77F68">
      <w:pPr>
        <w:pStyle w:val="000005"/>
        <w:keepNext w:val="1"/>
        <w:keepLines w:val="1"/>
        <w:pBdr>
          <w:bottom w:val="single" w:color="1565c0" w:sz="11" w:space="2"/>
        </w:pBdr>
        <w:spacing w:before="384" w:beforeAutospacing="1" w:after="168" w:afterAutospacing="1" w:line="420"/>
        <w:outlineLvl w:val="1"/>
        <w:rPr>
          <w:color w:val="1a237e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a237e"/>
          <w:sz w:val="34"/>
        </w:rPr>
        <w:t>八、附录</w:t>
      </w:r>
      <w:bookmarkEnd w:id="8"/>
    </w:p>
    <w:p w14:paraId="278CC594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本章提供术语、待确认清单与证据索引，作为正文的补充说明。</w:t>
      </w:r>
    </w:p>
    <w:p w14:paraId="57738ADE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8.1 关键术语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368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术语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8AA5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7D3B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代理费用结算单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78B9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本项目核心单据，记录一笔贸易代理服务产生的费用明细与结算依据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85E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三态字段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8C5E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有值 / 缺失（原本无）/ 未确认（有值未签字）三种互斥状态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4F7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双时间戳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7F71A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业务发生时间 + 系统接收时间，回填场景下二者不同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0E7C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双条件版本判定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9CD07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版本有效期 + 确认状态同时满足才认定为最新版本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0450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人工闸口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8471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必须由授权人签字或审批才能通过的控制点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D519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依据链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E1F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模型给出的每条建议所依据的原始文件、位置与比对结果</w:t>
            </w:r>
          </w:p>
        </w:tc>
      </w:tr>
    </w:tbl>
    <w:p w14:paraId="474D0D6D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8.2 待确认清单（影响报价与工期）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E9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BA9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待确认事项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3E97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影响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304D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需谁确认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E8FAC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DDB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授权人名单与审批层级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4F02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阶段一 W0 阻塞项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47DAE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甲方业务负责人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96640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D01B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重复判定口径与币种换算规则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4AB8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查重能否出结论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CB58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质量负责人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2A3F6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DD07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版本链在三类工具中的可行性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798EF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是否降级为人工清单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E8966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甲方工程师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0C21A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75D1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缺项清单字段与来源定位粒度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D0A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返工量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5D1B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一线专员 + 质量负责人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38BBF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63D2D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客户投诉统一口径与回复边界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0AD4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阶段二范围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AA51C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客户协同代表</w:t>
            </w:r>
          </w:p>
        </w:tc>
      </w:tr>
      <w:tr>
        <w:trPr/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1EDF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71C1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确认速度与凭证完整的优先级裁决人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4181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验收指标权重</w:t>
            </w:r>
          </w:p>
        </w:tc>
        <w:tc>
          <w:tcPr>
            <w:tcW w:w="207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CF7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业务负责人</w:t>
            </w:r>
          </w:p>
        </w:tc>
      </w:tr>
    </w:tbl>
    <w:p w14:paraId="6569D6B1">
      <w:pPr>
        <w:pStyle w:val="000006"/>
        <w:keepNext w:val="1"/>
        <w:keepLines w:val="1"/>
        <w:spacing w:before="312" w:beforeAutospacing="1" w:after="120" w:afterAutospacing="1" w:line="420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8.3 证据索引</w:t>
      </w:r>
    </w:p>
    <w:p w14:paraId="61239A45">
      <w:pPr>
        <w:spacing w:after="132" w:line="420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本方案第三章的流程设计对应访谈需求条目：REQ-1（缺项清单与来源位置）对应 3.5.2；REQ-2（双条件版本判定）对应 3.6；REQ-3（重复只提示不删除）对应 3.5.4；REQ-4（双时间戳）对应 3.6；REQ-5（人工审批点与留痕）对应 3.8；REQ-6（多指标评估）对应 5.2。原始证据编号见访谈演练报告 dlg-trade-settlement-f00 至 f55。</w:t>
      </w:r>
    </w:p>
    <w:p w14:paraId="68CB3CC7">
      <w:pPr>
        <w:spacing w:after="132" w:line="420"/>
        <w:ind w:firstLine="480"/>
        <w:jc w:val="both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---</w:t>
      </w:r>
    </w:p>
    <w:p w14:paraId="5AE992E7">
      <w:pPr>
        <w:spacing w:after="132" w:line="420"/>
        <w:ind w:firstLine="480"/>
        <w:jc w:val="both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212121"/>
          <w:sz w:val="24"/>
        </w:rPr>
        <w:t>本方案与报价基于访谈演练假设编制，所有指标基线为合成样本，须经甲方书面确认口径后方可作为合同附件。方案中的技术判断以"只读旁路 + 人在环"为前提，若甲方后续开放写回接口，实施路径与报价需重新评估。</w:t>
      </w:r>
    </w:p>
    <w:p w14:paraId="7CA1B2E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8965B1E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6">
    <w:abstractNumId w:val="0"/>
  </w:num>
  <w:num w:numId="1">
    <w:abstractNumId w:val="3"/>
  </w:num>
  <w:num w:numId="7">
    <w:abstractNumId w:val="7"/>
  </w:num>
  <w:num w:numId="8">
    <w:abstractNumId w:val="5"/>
  </w:num>
  <w:num w:numId="3">
    <w:abstractNumId w:val="1"/>
  </w:num>
  <w:num w:numId="2">
    <w:abstractNumId w:val="2"/>
  </w:num>
  <w:num w:numId="4">
    <w:abstractNumId w:val="6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9" w:uiPriority="39" w:semiHidden="1" w:unhideWhenUsed="1"/>
    <w:lsdException w:name="FollowedHyperlink" w:semiHidden="1" w:unhideWhenUsed="1"/>
    <w:lsdException w:name="List Bullet 4" w:semiHidden="1" w:unhideWhenUsed="1"/>
    <w:lsdException w:name="caption" w:uiPriority="35" w:semiHidden="1" w:unhideWhenUsed="1" w:qFormat="1"/>
    <w:lsdException w:name="heading 4" w:uiPriority="9" w:semiHidden="1" w:unhideWhenUsed="1" w:qFormat="1"/>
    <w:lsdException w:name="List Continue 2" w:semiHidden="1" w:unhideWhenUsed="1"/>
    <w:lsdException w:name="toc 2" w:uiPriority="39" w:semiHidden="1" w:unhideWhenUsed="1"/>
    <w:lsdException w:name="List Bullet" w:semiHidden="1" w:unhideWhenUsed="1"/>
    <w:lsdException w:name="List Number" w:semiHidden="1" w:unhideWhenUsed="1"/>
    <w:lsdException w:name="toc 8" w:uiPriority="39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Body Text Indent 2" w:semiHidden="1" w:unhideWhenUsed="1"/>
    <w:lsdException w:name="Date" w:semiHidden="1" w:unhideWhenUsed="1"/>
    <w:lsdException w:name="index 9" w:semiHidden="1" w:unhideWhenUsed="1"/>
    <w:lsdException w:name="Closing" w:semiHidden="1" w:unhideWhenUsed="1"/>
    <w:lsdException w:name="toc 7" w:uiPriority="39" w:semiHidden="1" w:unhideWhenUsed="1"/>
    <w:lsdException w:name="footer" w:semiHidden="1" w:unhideWhenUsed="1"/>
    <w:lsdException w:name="heading 2" w:uiPriority="9" w:semiHidden="1" w:unhideWhenUsed="1" w:qFormat="1"/>
    <w:lsdException w:name="heading 8" w:uiPriority="9" w:semiHidden="1" w:unhideWhenUsed="1" w:qFormat="1"/>
    <w:lsdException w:name="Body Text Indent 3" w:semiHidden="1" w:unhideWhenUsed="1"/>
    <w:lsdException w:name="index 8" w:semiHidden="1" w:unhideWhenUsed="1"/>
    <w:lsdException w:name="Hyperlink" w:semiHidden="1" w:unhideWhenUsed="1"/>
    <w:lsdException w:name="toc 6" w:uiPriority="39" w:semiHidden="1" w:unhideWhenUsed="1"/>
    <w:lsdException w:name="annotation text" w:semiHidden="1" w:unhideWhenUsed="1"/>
    <w:lsdException w:name="List Number 4" w:semiHidden="1" w:unhideWhenUsed="1"/>
    <w:lsdException w:name="index 2" w:semiHidden="1" w:unhideWhenUsed="1"/>
    <w:lsdException w:name="table of figures" w:semiHidden="1" w:unhideWhenUsed="1"/>
    <w:lsdException w:name="Normal" w:uiPriority="0" w:qFormat="1"/>
    <w:lsdException w:name="heading 7" w:uiPriority="9" w:semiHidden="1" w:unhideWhenUsed="1" w:qFormat="1"/>
    <w:lsdException w:name="List Number 5" w:semiHidden="1" w:unhideWhenUsed="1"/>
    <w:lsdException w:name="index 5" w:semiHidden="1" w:unhideWhenUsed="1"/>
    <w:lsdException w:name="List 3" w:semiHidden="1" w:unhideWhenUsed="1"/>
    <w:lsdException w:name="index heading" w:semiHidden="1" w:unhideWhenUsed="1"/>
    <w:lsdException w:name="Body Text 2" w:semiHidden="1" w:unhideWhenUsed="1"/>
    <w:lsdException w:name="List Number 2" w:semiHidden="1" w:unhideWhenUsed="1"/>
    <w:lsdException w:name="index 4" w:semiHidden="1" w:unhideWhenUsed="1"/>
    <w:lsdException w:name="Strong" w:uiPriority="22" w:qFormat="1"/>
    <w:lsdException w:name="Default Paragraph Font" w:uiPriority="1" w:semiHidden="1" w:unhideWhenUsed="1"/>
    <w:lsdException w:name="endnote text" w:semiHidden="1" w:unhideWhenUsed="1"/>
    <w:lsdException w:name="Body Text 3" w:semiHidden="1" w:unhideWhenUsed="1"/>
    <w:lsdException w:name="Note Heading" w:semiHidden="1" w:unhideWhenUsed="1"/>
    <w:lsdException w:name="index 7" w:semiHidden="1" w:unhideWhenUsed="1"/>
    <w:lsdException w:name="macro" w:semiHidden="1" w:unhideWhenUsed="1"/>
    <w:lsdException w:name="index 1" w:semiHidden="1" w:unhideWhenUsed="1"/>
    <w:lsdException w:name="page number" w:semiHidden="1" w:unhideWhenUsed="1"/>
    <w:lsdException w:name="Signature" w:semiHidden="1" w:unhideWhenUsed="1"/>
    <w:lsdException w:name="footnote text" w:semiHidden="1" w:unhideWhenUsed="1"/>
    <w:lsdException w:name="Message Header" w:semiHidden="1" w:unhideWhenUsed="1"/>
    <w:lsdException w:name="envelope address" w:semiHidden="1" w:unhideWhenUsed="1"/>
    <w:lsdException w:name="index 6" w:semiHidden="1" w:unhideWhenUsed="1"/>
    <w:lsdException w:name="Block Text" w:semiHidden="1" w:unhideWhenUsed="1"/>
    <w:lsdException w:name="Title" w:uiPriority="10" w:qFormat="1"/>
    <w:lsdException w:name="Subtitle" w:uiPriority="11" w:qFormat="1"/>
    <w:lsdException w:name="List Continue 3" w:semiHidden="1" w:unhideWhenUsed="1"/>
    <w:lsdException w:name="index 3" w:semiHidden="1" w:unhideWhenUsed="1"/>
    <w:lsdException w:name="Normal Indent" w:semiHidden="1" w:unhideWhenUsed="1"/>
    <w:lsdException w:name="List" w:semiHidden="1" w:unhideWhenUsed="1"/>
    <w:lsdException w:name="line number" w:semiHidden="1" w:unhideWhenUsed="1"/>
    <w:lsdException w:name="endnote reference" w:semiHidden="1" w:unhideWhenUsed="1"/>
    <w:lsdException w:name="table of authorities" w:semiHidden="1" w:unhideWhenUsed="1"/>
    <w:lsdException w:name="List Bullet 3" w:semiHidden="1" w:unhideWhenUsed="1"/>
    <w:lsdException w:name="heading 1" w:uiPriority="9" w:qFormat="1"/>
    <w:lsdException w:name="toa heading" w:semiHidden="1" w:unhideWhenUsed="1"/>
    <w:lsdException w:name="Salutation" w:semiHidden="1" w:unhideWhenUsed="1"/>
    <w:lsdException w:name="Body Text First Indent" w:semiHidden="1" w:unhideWhenUsed="1"/>
    <w:lsdException w:name="List 5" w:semiHidden="1" w:unhideWhenUsed="1"/>
    <w:lsdException w:name="toc 5" w:uiPriority="39" w:semiHidden="1" w:unhideWhenUsed="1"/>
    <w:lsdException w:name="List Bullet 2" w:semiHidden="1" w:unhideWhenUsed="1"/>
    <w:lsdException w:name="List Continue" w:semiHidden="1" w:unhideWhenUsed="1"/>
    <w:lsdException w:name="header" w:semiHidden="1" w:unhideWhenUsed="1"/>
    <w:lsdException w:name="heading 6" w:uiPriority="9" w:semiHidden="1" w:unhideWhenUsed="1" w:qFormat="1"/>
    <w:lsdException w:name="List Continue 4" w:semiHidden="1" w:unhideWhenUsed="1"/>
    <w:lsdException w:name="List 4" w:semiHidden="1" w:unhideWhenUsed="1"/>
    <w:lsdException w:name="Body Text Indent" w:semiHidden="1" w:unhideWhenUsed="1"/>
    <w:lsdException w:name="toc 4" w:uiPriority="39" w:semiHidden="1" w:unhideWhenUsed="1"/>
    <w:lsdException w:name="footnote reference" w:semiHidden="1" w:unhideWhenUsed="1"/>
    <w:lsdException w:name="annotation reference" w:semiHidden="1" w:unhideWhenUsed="1"/>
    <w:lsdException w:name="List 2" w:semiHidden="1" w:unhideWhenUsed="1"/>
    <w:lsdException w:name="Body Text" w:semiHidden="1" w:unhideWhenUsed="1"/>
    <w:lsdException w:name="List Bullet 5" w:semiHidden="1" w:unhideWhenUsed="1"/>
    <w:lsdException w:name="envelope return" w:semiHidden="1" w:unhideWhenUsed="1"/>
    <w:lsdException w:name="heading 5" w:uiPriority="9" w:semiHidden="1" w:unhideWhenUsed="1" w:qFormat="1"/>
    <w:lsdException w:name="List Continue 5" w:semiHidden="1" w:unhideWhenUsed="1"/>
    <w:lsdException w:name="Body Text First Indent 2" w:semiHidden="1" w:unhideWhenUsed="1"/>
    <w:lsdException w:name="toc 3" w:uiPriority="39" w:semiHidden="1" w:unhideWhenUsed="1"/>
    <w:lsdException w:name="List Number 3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f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2026-10-30T07:43:17Z</dcterms:created>
  <dcterms:modified xsi:type="dcterms:W3CDTF">2026-10-30T07:43:17Z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"01a18a07759479c799247479b34541f3", "ReservedCode1": "", "ContentPropagator": "00119111010856365494821B355", "PropagateID": "01a18a07759479c799247479b34541f3", "ReservedCode2": ""}}</vt:lpwstr>
  </property>
</Properties>
</file>