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w:hAnsi="Arial" w:eastAsia="Arial" w:cs="Arial"/>
          <w:b/>
          <w:b/>
          <w:bCs/>
          <w:color w:val="000000" w:themeColor="text1"/>
          <w:sz w:val="22"/>
          <w:szCs w:val="22"/>
        </w:rPr>
      </w:pPr>
      <w:r>
        <w:rPr>
          <w:rFonts w:eastAsia="Arial" w:cs="Arial" w:ascii="Arial" w:hAnsi="Arial"/>
          <w:b/>
          <w:bCs/>
          <w:color w:val="000000" w:themeColor="text1"/>
          <w:sz w:val="22"/>
          <w:szCs w:val="22"/>
        </w:rPr>
        <w:t>Methods</w:t>
      </w:r>
    </w:p>
    <w:p>
      <w:pPr>
        <w:pStyle w:val="Normal"/>
        <w:spacing w:lineRule="auto" w:line="240"/>
        <w:jc w:val="both"/>
        <w:rPr>
          <w:rFonts w:ascii="Arial" w:hAnsi="Arial" w:eastAsia="Arial" w:cs="Arial"/>
          <w:color w:val="000000" w:themeColor="text1"/>
          <w:sz w:val="22"/>
          <w:szCs w:val="22"/>
        </w:rPr>
      </w:pPr>
      <w:r>
        <w:rPr>
          <w:rFonts w:eastAsia="Arial" w:cs="Arial" w:ascii="Arial" w:hAnsi="Arial"/>
          <w:i/>
          <w:iCs/>
          <w:color w:val="000000" w:themeColor="text1"/>
          <w:sz w:val="22"/>
          <w:szCs w:val="22"/>
        </w:rPr>
        <w:t>Animals.</w:t>
      </w:r>
      <w:r>
        <w:rPr>
          <w:rFonts w:eastAsia="Arial" w:cs="Arial" w:ascii="Arial" w:hAnsi="Arial"/>
          <w:color w:val="000000" w:themeColor="text1"/>
          <w:sz w:val="22"/>
          <w:szCs w:val="22"/>
        </w:rPr>
        <w:t xml:space="preserve"> Experiments were conducted in accordance with the Institutional Animal Care and Use Committee (IACUC) at the University of Iowa. Male C57Bl/6J mice, aged 2-3 months, were used for all experiments. Prior to experimentation, mice were group housed with paper bedding in groups of 5 same-sex littermates per cage. Animals were maintained on a 12h:12h light-dark cycle with </w:t>
      </w:r>
      <w:r>
        <w:rPr>
          <w:rFonts w:eastAsia="Arial" w:cs="Arial" w:ascii="Arial" w:hAnsi="Arial"/>
          <w:i/>
          <w:iCs/>
          <w:color w:val="000000" w:themeColor="text1"/>
          <w:sz w:val="22"/>
          <w:szCs w:val="22"/>
        </w:rPr>
        <w:t xml:space="preserve">ad libitum </w:t>
      </w:r>
      <w:r>
        <w:rPr>
          <w:rFonts w:eastAsia="Arial" w:cs="Arial" w:ascii="Arial" w:hAnsi="Arial"/>
          <w:color w:val="000000" w:themeColor="text1"/>
          <w:sz w:val="22"/>
          <w:szCs w:val="22"/>
        </w:rPr>
        <w:t>access to food and water. The onset of the light cycle was designated as Zeitgeber time zero (ZT0).</w:t>
      </w:r>
    </w:p>
    <w:p>
      <w:pPr>
        <w:pStyle w:val="Normal"/>
        <w:spacing w:lineRule="auto" w:line="240"/>
        <w:jc w:val="both"/>
        <w:rPr>
          <w:rFonts w:ascii="Arial" w:hAnsi="Arial" w:eastAsia="Arial" w:cs="Arial"/>
          <w:color w:val="000000" w:themeColor="text1"/>
          <w:sz w:val="22"/>
          <w:szCs w:val="22"/>
        </w:rPr>
      </w:pPr>
      <w:r>
        <w:rPr>
          <w:rFonts w:eastAsia="Arial" w:cs="Arial" w:ascii="Arial" w:hAnsi="Arial"/>
          <w:color w:val="000000" w:themeColor="text1"/>
          <w:sz w:val="22"/>
          <w:szCs w:val="22"/>
        </w:rPr>
      </w:r>
    </w:p>
    <w:p>
      <w:pPr>
        <w:pStyle w:val="Normal"/>
        <w:spacing w:lineRule="auto" w:line="240"/>
        <w:jc w:val="both"/>
        <w:rPr>
          <w:rFonts w:ascii="Arial" w:hAnsi="Arial" w:eastAsia="Arial" w:cs="Arial"/>
          <w:color w:val="000000" w:themeColor="text1"/>
          <w:sz w:val="22"/>
          <w:szCs w:val="22"/>
        </w:rPr>
      </w:pPr>
      <w:r>
        <w:rPr>
          <w:rFonts w:eastAsia="Arial" w:cs="Arial" w:ascii="Arial" w:hAnsi="Arial"/>
          <w:i/>
          <w:iCs/>
          <w:color w:val="000000" w:themeColor="text1"/>
          <w:sz w:val="22"/>
          <w:szCs w:val="22"/>
        </w:rPr>
        <w:t>Sleep deprivation.</w:t>
      </w:r>
      <w:r>
        <w:rPr>
          <w:rFonts w:eastAsia="Arial" w:cs="Arial" w:ascii="Arial" w:hAnsi="Arial"/>
          <w:color w:val="000000" w:themeColor="text1"/>
          <w:sz w:val="22"/>
          <w:szCs w:val="22"/>
        </w:rPr>
        <w:t xml:space="preserve"> Mice were single housed for 7 days prior to experimentation in cages containing corncob bedding (Envigo, Teklad ¼” corncob, #7907) and a handful of soft paper bedding for nesting. Food and water were available </w:t>
      </w:r>
      <w:r>
        <w:rPr>
          <w:rFonts w:eastAsia="Arial" w:cs="Arial" w:ascii="Arial" w:hAnsi="Arial"/>
          <w:i/>
          <w:iCs/>
          <w:color w:val="000000" w:themeColor="text1"/>
          <w:sz w:val="22"/>
          <w:szCs w:val="22"/>
        </w:rPr>
        <w:t xml:space="preserve">ad libitum </w:t>
      </w:r>
      <w:r>
        <w:rPr>
          <w:rFonts w:eastAsia="Arial" w:cs="Arial" w:ascii="Arial" w:hAnsi="Arial"/>
          <w:color w:val="000000" w:themeColor="text1"/>
          <w:sz w:val="22"/>
          <w:szCs w:val="22"/>
        </w:rPr>
        <w:t xml:space="preserve">throughout the experiment. Mice were habituated to the experimenter for 5 consecutive days prior to sleep deprivation in the experimental testing room by lightly tapping each cage for 2 min per day. Sleep deprivation was performed for 5 consecutive hours (ZT0-ZT5) using gentle sleep disruption consisting of light cage tapping, with brief gentle cage shaking when tapping was no longer sufficient to maintain wakefulness. NSD control mice remained undisturbed in the colony room for the duration of the 5 h experimental period. </w:t>
      </w:r>
    </w:p>
    <w:p>
      <w:pPr>
        <w:pStyle w:val="Normal"/>
        <w:spacing w:lineRule="auto" w:line="240"/>
        <w:jc w:val="both"/>
        <w:rPr>
          <w:rFonts w:ascii="Arial" w:hAnsi="Arial" w:eastAsia="Arial" w:cs="Arial"/>
          <w:color w:val="000000" w:themeColor="text1"/>
          <w:sz w:val="22"/>
          <w:szCs w:val="22"/>
        </w:rPr>
      </w:pPr>
      <w:r>
        <w:rPr>
          <w:rFonts w:eastAsia="Arial" w:cs="Arial" w:ascii="Arial" w:hAnsi="Arial"/>
          <w:color w:val="000000" w:themeColor="text1"/>
          <w:sz w:val="22"/>
          <w:szCs w:val="22"/>
        </w:rPr>
      </w:r>
    </w:p>
    <w:p>
      <w:pPr>
        <w:pStyle w:val="Normal"/>
        <w:spacing w:lineRule="auto" w:line="240"/>
        <w:jc w:val="both"/>
        <w:rPr>
          <w:rFonts w:ascii="Arial" w:hAnsi="Arial" w:eastAsia="Arial" w:cs="Arial"/>
          <w:color w:val="000000" w:themeColor="text1"/>
          <w:sz w:val="22"/>
          <w:szCs w:val="22"/>
        </w:rPr>
      </w:pPr>
      <w:r>
        <w:rPr>
          <w:rFonts w:eastAsia="Arial" w:cs="Arial" w:ascii="Arial" w:hAnsi="Arial"/>
          <w:i/>
          <w:iCs/>
          <w:color w:val="000000" w:themeColor="text1"/>
          <w:sz w:val="22"/>
          <w:szCs w:val="22"/>
        </w:rPr>
        <w:t xml:space="preserve">Tissue processing and data generation. </w:t>
      </w:r>
      <w:r>
        <w:rPr>
          <w:rFonts w:eastAsia="Arial" w:cs="Arial" w:ascii="Arial" w:hAnsi="Arial"/>
          <w:color w:val="000000" w:themeColor="text1"/>
          <w:sz w:val="22"/>
          <w:szCs w:val="22"/>
        </w:rPr>
        <w:t xml:space="preserve">Immediately following the 5h sleep deprivation period, mice were rapidly euthanized by cervical dislocation, and whole brains were extracted and flash frozen in chilled isopentane on dry ice. Frozen brains (n = 3 NSD and n = 3 SD) were stored at </w:t>
        <w:br/>
        <w:t xml:space="preserve">-80°C until sectioning. Prior to cryosectioning, brains were equilibrated to -20°C in a Leica CM3050 S cryostat located in the Iowa Neuroscience Institute (INI) Neural Circuits and Behavior Core. Brains were embedded in optimal cutting temperature (OCT) medium and sectioned coronally at 10μm at -20°C using an anti-roll plate and flat paintbrush for section handling. Tissue blocks were gently scored to facilitate selective mounting of hippocampal and cortical sections onto a Xenium slide (10X Genomics). The prepared Xenium slide was shipped on dry ice to the University of Michigan Advanced Genomics Core for processing on the Xenium Analyzer and generation of spatial transcriptomic data. Spatial transcriptomic processing was performed according to the manufacturer’s protocol (CG000584, Rev K, 10X Genomics). Briefly, tissue sections were fixed in 4% paraformaldehyde for 30 min and permeabilized with 1% SDS and chilled 70% methanol for 60 min. Sections were hybridized overnight at 50°C with pre-designed probes using a 247 mouse brain gene expression panel and 50 custom probes. Following post-hybridization washes, probe ligation and amplification were performed according to manufacturer specifications, followed by autofluorescence quenching and nuclear staining. Slides were subsequently imaged on the Xenium Analyzer, where sequential imaging and barcode decoding were used to generate spatially resolved transcriptomic datasets. </w:t>
      </w:r>
    </w:p>
    <w:p>
      <w:pPr>
        <w:pStyle w:val="Normal"/>
        <w:spacing w:lineRule="auto" w:line="240"/>
        <w:jc w:val="both"/>
        <w:rPr>
          <w:rFonts w:ascii="Arial" w:hAnsi="Arial" w:eastAsia="Arial" w:cs="Arial"/>
          <w:color w:val="000000" w:themeColor="text1"/>
          <w:sz w:val="22"/>
          <w:szCs w:val="22"/>
        </w:rPr>
      </w:pPr>
      <w:r>
        <w:rPr/>
      </w:r>
    </w:p>
    <w:p>
      <w:pPr>
        <w:pStyle w:val="Normal"/>
        <w:spacing w:lineRule="auto" w:line="240"/>
        <w:jc w:val="both"/>
        <w:rPr/>
      </w:pPr>
      <w:r>
        <w:rPr>
          <w:rFonts w:eastAsia="Arial" w:cs="Arial" w:ascii="Arial" w:hAnsi="Arial"/>
          <w:i/>
          <w:iCs/>
          <w:color w:val="000000" w:themeColor="text1"/>
          <w:sz w:val="22"/>
          <w:szCs w:val="22"/>
        </w:rPr>
        <w:t xml:space="preserve">Clustering and Analysis of Xenium data. </w:t>
      </w:r>
      <w:r>
        <w:rPr>
          <w:rFonts w:eastAsia="Arial" w:cs="Arial" w:ascii="Arial" w:hAnsi="Arial"/>
          <w:color w:val="000000" w:themeColor="text1"/>
          <w:sz w:val="22"/>
          <w:szCs w:val="22"/>
        </w:rPr>
        <w:t xml:space="preserve">Data analysis was performed on Xenium samples from a total of 6 male mice (3 NSD, 3 SD), using the stock gene panel from 10x Genomics containing a total of 297 genes, which we represent as </w:t>
      </w:r>
      <w:r>
        <w:rPr>
          <w:rFonts w:eastAsia="Arial" w:cs="Arial" w:ascii="Arial" w:hAnsi="Arial"/>
          <w:color w:val="000000" w:themeColor="text1"/>
          <w:sz w:val="22"/>
          <w:szCs w:val="22"/>
        </w:rPr>
      </w:r>
      <m:oMath xmlns:m="http://schemas.openxmlformats.org/officeDocument/2006/math">
        <m:sSub>
          <m:e>
            <m:r>
              <w:rPr>
                <w:rFonts w:ascii="Cambria Math" w:hAnsi="Cambria Math"/>
              </w:rPr>
              <m:t xml:space="preserve">N</m:t>
            </m:r>
          </m:e>
          <m:sub>
            <m:r>
              <w:rPr>
                <w:rFonts w:ascii="Cambria Math" w:hAnsi="Cambria Math"/>
              </w:rPr>
              <m:t xml:space="preserve">g</m:t>
            </m:r>
          </m:sub>
        </m:sSub>
      </m:oMath>
      <w:r>
        <w:rPr>
          <w:rFonts w:eastAsia="Arial" w:cs="Arial" w:ascii="Arial" w:hAnsi="Arial"/>
          <w:color w:val="000000" w:themeColor="text1"/>
          <w:sz w:val="22"/>
          <w:szCs w:val="22"/>
        </w:rPr>
        <w:t xml:space="preserve">. The data for each sample was restricted to include only cells contained within the hippocampal formation, as seen in Fig. 1, giving a unique number of cells for each sample, identified as </w:t>
      </w:r>
      <w:r>
        <w:rPr>
          <w:rFonts w:eastAsia="Arial" w:cs="Arial" w:ascii="Arial" w:hAnsi="Arial"/>
          <w:color w:val="000000" w:themeColor="text1"/>
          <w:sz w:val="22"/>
          <w:szCs w:val="22"/>
        </w:rPr>
      </w:r>
      <m:oMath xmlns:m="http://schemas.openxmlformats.org/officeDocument/2006/math">
        <m:sSub>
          <m:e>
            <m:r>
              <w:rPr>
                <w:rFonts w:ascii="Cambria Math" w:hAnsi="Cambria Math"/>
              </w:rPr>
              <m:t xml:space="preserve">N</m:t>
            </m:r>
          </m:e>
          <m:sub>
            <m:r>
              <w:rPr>
                <w:rFonts w:ascii="Cambria Math" w:hAnsi="Cambria Math"/>
              </w:rPr>
              <m:t xml:space="preserve">c</m:t>
            </m:r>
          </m:sub>
        </m:sSub>
      </m:oMath>
      <w:r>
        <w:rPr>
          <w:rFonts w:eastAsia="Arial" w:cs="Arial" w:ascii="Arial" w:hAnsi="Arial"/>
          <w:color w:val="000000" w:themeColor="text1"/>
          <w:sz w:val="22"/>
          <w:szCs w:val="22"/>
        </w:rPr>
        <w:t xml:space="preserve">. The gene expression matrix for each mouse, with a size of </w:t>
      </w:r>
      <w:r>
        <w:rPr>
          <w:rFonts w:eastAsia="Arial" w:cs="Arial" w:ascii="Arial" w:hAnsi="Arial"/>
          <w:color w:val="000000" w:themeColor="text1"/>
          <w:sz w:val="22"/>
          <w:szCs w:val="22"/>
        </w:rPr>
      </w:r>
      <m:oMath xmlns:m="http://schemas.openxmlformats.org/officeDocument/2006/math">
        <m:sSub>
          <m:e>
            <m:r>
              <w:rPr>
                <w:rFonts w:ascii="Cambria Math" w:hAnsi="Cambria Math"/>
              </w:rPr>
              <m:t xml:space="preserve">N</m:t>
            </m:r>
          </m:e>
          <m:sub>
            <m:r>
              <w:rPr>
                <w:rFonts w:ascii="Cambria Math" w:hAnsi="Cambria Math"/>
              </w:rPr>
              <m:t xml:space="preserve">g</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c</m:t>
            </m:r>
          </m:sub>
        </m:sSub>
      </m:oMath>
      <w:r>
        <w:rPr>
          <w:rFonts w:eastAsia="Arial" w:cs="Arial" w:ascii="Arial" w:hAnsi="Arial"/>
          <w:color w:val="000000" w:themeColor="text1"/>
          <w:sz w:val="22"/>
          <w:szCs w:val="22"/>
        </w:rPr>
        <w:t>, was then log2 normalized. Cosine distance was calculated for each cell within the hippocampal formation of a single sample by taking 1 minus the dot product of a vector of the transcriptomic data for each cell divided by the product of the norms of each vector as in Eq. 1.</w:t>
      </w:r>
    </w:p>
    <w:p>
      <w:pPr>
        <w:pStyle w:val="Normal"/>
        <w:spacing w:lineRule="auto" w:line="240"/>
        <w:jc w:val="both"/>
        <w:rPr>
          <w:rFonts w:ascii="Arial" w:hAnsi="Arial" w:eastAsia="Arial" w:cs="Arial"/>
          <w:color w:val="000000" w:themeColor="text1"/>
          <w:sz w:val="22"/>
          <w:szCs w:val="22"/>
        </w:rPr>
      </w:pPr>
      <w:r>
        <w:rPr>
          <w:rFonts w:eastAsia="Arial" w:cs="Arial" w:ascii="Arial" w:hAnsi="Arial"/>
          <w:color w:val="000000" w:themeColor="text1"/>
          <w:sz w:val="22"/>
          <w:szCs w:val="22"/>
        </w:rPr>
      </w:r>
      <m:oMathPara xmlns:m="http://schemas.openxmlformats.org/officeDocument/2006/math">
        <m:oMathParaPr>
          <m:jc m:val="left"/>
        </m:oMathParaPr>
        <m:oMath>
          <m:sSub>
            <m:e>
              <m:r>
                <w:rPr>
                  <w:rFonts w:ascii="Cambria Math" w:hAnsi="Cambria Math"/>
                </w:rPr>
                <m:t xml:space="preserve">S</m:t>
              </m:r>
            </m:e>
            <m:sub>
              <m:r>
                <w:rPr>
                  <w:rFonts w:ascii="Cambria Math" w:hAnsi="Cambria Math"/>
                </w:rPr>
                <m:t xml:space="preserve">c</m:t>
              </m:r>
            </m:sub>
          </m:sSub>
          <m:d>
            <m:dPr>
              <m:begChr m:val="("/>
              <m:endChr m:val=")"/>
            </m:dPr>
            <m:e>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j</m:t>
                  </m:r>
                </m:sub>
              </m:sSub>
            </m:e>
          </m:d>
          <m:r>
            <w:rPr>
              <w:rFonts w:ascii="Cambria Math" w:hAnsi="Cambria Math"/>
            </w:rPr>
            <m:t xml:space="preserve">=</m:t>
          </m:r>
          <m:r>
            <w:rPr>
              <w:rFonts w:ascii="Cambria Math" w:hAnsi="Cambria Math"/>
            </w:rPr>
            <m:t xml:space="preserve">1</m:t>
          </m:r>
          <m:r>
            <w:rPr>
              <w:rFonts w:ascii="Cambria Math" w:hAnsi="Cambria Math"/>
            </w:rPr>
            <m:t xml:space="preserve">−</m:t>
          </m:r>
          <m:f>
            <m:num>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j</m:t>
                  </m:r>
                </m:sub>
              </m:sSub>
            </m:num>
            <m:den>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j</m:t>
                  </m:r>
                </m:sub>
              </m:sSub>
              <m:r>
                <w:rPr>
                  <w:rFonts w:ascii="Cambria Math" w:hAnsi="Cambria Math"/>
                </w:rPr>
                <m:t xml:space="preserve">∥</m:t>
              </m:r>
            </m:den>
          </m:f>
        </m:oMath>
      </m:oMathPara>
    </w:p>
    <w:p>
      <w:pPr>
        <w:pStyle w:val="Normal"/>
        <w:spacing w:lineRule="auto" w:line="240"/>
        <w:jc w:val="both"/>
        <w:rPr>
          <w:rFonts w:ascii="Arial" w:hAnsi="Arial" w:eastAsia="Arial" w:cs="Arial"/>
          <w:color w:val="000000" w:themeColor="text1"/>
          <w:sz w:val="22"/>
          <w:szCs w:val="22"/>
        </w:rPr>
      </w:pPr>
      <w:r>
        <w:rPr>
          <w:rFonts w:eastAsia="Arial" w:cs="Arial" w:ascii="Arial" w:hAnsi="Arial"/>
          <w:color w:val="000000" w:themeColor="text1"/>
          <w:sz w:val="22"/>
          <w:szCs w:val="22"/>
        </w:rPr>
        <w:t xml:space="preserve">Where </w:t>
      </w:r>
      <w:r>
        <w:rPr>
          <w:rFonts w:eastAsia="Arial" w:cs="Arial" w:ascii="Arial" w:hAnsi="Arial"/>
          <w:color w:val="000000" w:themeColor="text1"/>
          <w:sz w:val="22"/>
          <w:szCs w:val="22"/>
        </w:rPr>
      </w:r>
      <m:oMath xmlns:m="http://schemas.openxmlformats.org/officeDocument/2006/math">
        <m:sSub>
          <m:e>
            <m:r>
              <w:rPr>
                <w:rFonts w:ascii="Cambria Math" w:hAnsi="Cambria Math"/>
              </w:rPr>
              <m:t xml:space="preserve">c</m:t>
            </m:r>
          </m:e>
          <m:sub>
            <m:r>
              <w:rPr>
                <w:rFonts w:ascii="Cambria Math" w:hAnsi="Cambria Math"/>
              </w:rPr>
              <m:t xml:space="preserve">i</m:t>
            </m:r>
          </m:sub>
        </m:sSub>
      </m:oMath>
      <w:r>
        <w:rPr>
          <w:rFonts w:eastAsia="Arial" w:cs="Arial" w:ascii="Arial" w:hAnsi="Arial"/>
          <w:color w:val="000000" w:themeColor="text1"/>
          <w:sz w:val="22"/>
          <w:szCs w:val="22"/>
        </w:rPr>
        <w:t xml:space="preserve"> and </w:t>
      </w:r>
      <w:r>
        <w:rPr>
          <w:rFonts w:eastAsia="Arial" w:cs="Arial" w:ascii="Arial" w:hAnsi="Arial"/>
          <w:color w:val="000000" w:themeColor="text1"/>
          <w:sz w:val="22"/>
          <w:szCs w:val="22"/>
        </w:rPr>
      </w:r>
      <m:oMath xmlns:m="http://schemas.openxmlformats.org/officeDocument/2006/math">
        <m:sSub>
          <m:e>
            <m:r>
              <w:rPr>
                <w:rFonts w:ascii="Cambria Math" w:hAnsi="Cambria Math"/>
              </w:rPr>
              <m:t xml:space="preserve">c</m:t>
            </m:r>
          </m:e>
          <m:sub>
            <m:r>
              <w:rPr>
                <w:rFonts w:ascii="Cambria Math" w:hAnsi="Cambria Math"/>
              </w:rPr>
              <m:t xml:space="preserve">j</m:t>
            </m:r>
          </m:sub>
        </m:sSub>
      </m:oMath>
      <w:r>
        <w:rPr>
          <w:rFonts w:eastAsia="Arial" w:cs="Arial" w:ascii="Arial" w:hAnsi="Arial"/>
          <w:color w:val="000000" w:themeColor="text1"/>
          <w:sz w:val="22"/>
          <w:szCs w:val="22"/>
        </w:rPr>
        <w:t xml:space="preserve"> are individual cells within the dataset. This calculation gave us a distance metric </w:t>
      </w:r>
      <w:r>
        <w:rPr>
          <w:rFonts w:eastAsia="Arial" w:cs="Arial" w:ascii="Arial" w:hAnsi="Arial"/>
          <w:color w:val="000000" w:themeColor="text1"/>
          <w:sz w:val="22"/>
          <w:szCs w:val="22"/>
        </w:rPr>
      </w:r>
      <m:oMath xmlns:m="http://schemas.openxmlformats.org/officeDocument/2006/math">
        <m:sSub>
          <m:e>
            <m:r>
              <w:rPr>
                <w:rFonts w:ascii="Cambria Math" w:hAnsi="Cambria Math"/>
              </w:rPr>
              <m:t xml:space="preserve">S</m:t>
            </m:r>
          </m:e>
          <m:sub>
            <m:r>
              <w:rPr>
                <w:rFonts w:ascii="Cambria Math" w:hAnsi="Cambria Math"/>
              </w:rPr>
              <m:t xml:space="preserve">c</m:t>
            </m:r>
          </m:sub>
        </m:sSub>
      </m:oMath>
      <w:r>
        <w:rPr>
          <w:rFonts w:eastAsia="Arial" w:cs="Arial" w:ascii="Arial" w:hAnsi="Arial"/>
          <w:color w:val="000000" w:themeColor="text1"/>
          <w:sz w:val="22"/>
          <w:szCs w:val="22"/>
        </w:rPr>
        <w:t xml:space="preserve"> where 0 means two cells are identical in expression, while 1 means cells display inverse expression patterns.</w:t>
      </w:r>
    </w:p>
    <w:p>
      <w:pPr>
        <w:pStyle w:val="Normal"/>
        <w:spacing w:lineRule="auto" w:line="240"/>
        <w:jc w:val="both"/>
        <w:rPr>
          <w:rFonts w:ascii="Arial" w:hAnsi="Arial" w:eastAsia="Arial" w:cs="Arial"/>
          <w:color w:val="000000" w:themeColor="text1"/>
          <w:sz w:val="22"/>
          <w:szCs w:val="22"/>
        </w:rPr>
      </w:pPr>
      <w:r>
        <w:rPr>
          <w:rFonts w:eastAsia="Arial" w:cs="Arial" w:ascii="Arial" w:hAnsi="Arial"/>
          <w:color w:val="000000" w:themeColor="text1"/>
          <w:sz w:val="22"/>
          <w:szCs w:val="22"/>
        </w:rPr>
        <w:t xml:space="preserve">Spectral clustering was performed on each sample by first collecting each of these distances  </w:t>
      </w:r>
      <w:r>
        <w:rPr>
          <w:rFonts w:eastAsia="Arial" w:cs="Arial" w:ascii="Arial" w:hAnsi="Arial"/>
          <w:color w:val="000000" w:themeColor="text1"/>
          <w:sz w:val="22"/>
          <w:szCs w:val="22"/>
        </w:rPr>
      </w:r>
      <m:oMath xmlns:m="http://schemas.openxmlformats.org/officeDocument/2006/math">
        <m:sSub>
          <m:e>
            <m:r>
              <w:rPr>
                <w:rFonts w:ascii="Cambria Math" w:hAnsi="Cambria Math"/>
              </w:rPr>
              <m:t xml:space="preserve">S</m:t>
            </m:r>
          </m:e>
          <m:sub>
            <m:r>
              <w:rPr>
                <w:rFonts w:ascii="Cambria Math" w:hAnsi="Cambria Math"/>
              </w:rPr>
              <m:t xml:space="preserve">c</m:t>
            </m:r>
          </m:sub>
        </m:sSub>
      </m:oMath>
      <w:r>
        <w:rPr>
          <w:rFonts w:eastAsia="Arial" w:cs="Arial" w:ascii="Arial" w:hAnsi="Arial"/>
          <w:color w:val="000000" w:themeColor="text1"/>
          <w:sz w:val="22"/>
          <w:szCs w:val="22"/>
        </w:rPr>
        <w:t xml:space="preserve">into an </w:t>
      </w:r>
      <w:r>
        <w:rPr>
          <w:rFonts w:eastAsia="Arial" w:cs="Arial" w:ascii="Arial" w:hAnsi="Arial"/>
          <w:color w:val="000000" w:themeColor="text1"/>
          <w:sz w:val="22"/>
          <w:szCs w:val="22"/>
        </w:rPr>
      </w:r>
      <m:oMath xmlns:m="http://schemas.openxmlformats.org/officeDocument/2006/math">
        <m:sSub>
          <m:e>
            <m:r>
              <w:rPr>
                <w:rFonts w:ascii="Cambria Math" w:hAnsi="Cambria Math"/>
              </w:rPr>
              <m:t xml:space="preserve">N</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c</m:t>
            </m:r>
          </m:sub>
        </m:sSub>
      </m:oMath>
      <w:r>
        <w:rPr>
          <w:rFonts w:eastAsia="Arial" w:cs="Arial" w:ascii="Arial" w:hAnsi="Arial"/>
          <w:color w:val="000000" w:themeColor="text1"/>
          <w:sz w:val="22"/>
          <w:szCs w:val="22"/>
        </w:rPr>
        <w:t xml:space="preserve"> matrix called </w:t>
      </w:r>
      <w:r>
        <w:rPr>
          <w:rFonts w:eastAsia="Arial" w:cs="Arial" w:ascii="Arial" w:hAnsi="Arial"/>
          <w:color w:val="000000" w:themeColor="text1"/>
          <w:sz w:val="22"/>
          <w:szCs w:val="22"/>
        </w:rPr>
      </w:r>
      <m:oMath xmlns:m="http://schemas.openxmlformats.org/officeDocument/2006/math">
        <m:r>
          <w:rPr>
            <w:rFonts w:ascii="Cambria Math" w:hAnsi="Cambria Math"/>
          </w:rPr>
          <m:t xml:space="preserve">W</m:t>
        </m:r>
      </m:oMath>
      <w:r>
        <w:rPr>
          <w:rFonts w:eastAsia="Arial" w:cs="Arial" w:ascii="Arial" w:hAnsi="Arial"/>
          <w:color w:val="000000" w:themeColor="text1"/>
          <w:sz w:val="22"/>
          <w:szCs w:val="22"/>
        </w:rPr>
        <w:t xml:space="preserve"> for each sample that was then min-max normalized. The matrix  </w:t>
      </w:r>
      <w:r>
        <w:rPr>
          <w:rFonts w:eastAsia="Arial" w:cs="Arial" w:ascii="Arial" w:hAnsi="Arial"/>
          <w:color w:val="000000" w:themeColor="text1"/>
          <w:sz w:val="22"/>
          <w:szCs w:val="22"/>
        </w:rPr>
      </w:r>
      <m:oMath xmlns:m="http://schemas.openxmlformats.org/officeDocument/2006/math">
        <m:r>
          <w:rPr>
            <w:rFonts w:ascii="Cambria Math" w:hAnsi="Cambria Math"/>
          </w:rPr>
          <m:t xml:space="preserve">W</m:t>
        </m:r>
      </m:oMath>
      <w:r>
        <w:rPr>
          <w:rFonts w:eastAsia="Arial" w:cs="Arial" w:ascii="Arial" w:hAnsi="Arial"/>
          <w:color w:val="000000" w:themeColor="text1"/>
          <w:sz w:val="22"/>
          <w:szCs w:val="22"/>
        </w:rPr>
        <w:t xml:space="preserve"> was used as the adjacency matrix to calculate the graph Laplacian. The sum of all columns in </w:t>
      </w:r>
      <w:r>
        <w:rPr>
          <w:rFonts w:eastAsia="Arial" w:cs="Arial" w:ascii="Arial" w:hAnsi="Arial"/>
          <w:color w:val="000000" w:themeColor="text1"/>
          <w:sz w:val="22"/>
          <w:szCs w:val="22"/>
        </w:rPr>
      </w:r>
      <m:oMath xmlns:m="http://schemas.openxmlformats.org/officeDocument/2006/math">
        <m:r>
          <w:rPr>
            <w:rFonts w:ascii="Cambria Math" w:hAnsi="Cambria Math"/>
          </w:rPr>
          <m:t xml:space="preserve">W</m:t>
        </m:r>
      </m:oMath>
      <w:r>
        <w:rPr>
          <w:rFonts w:eastAsia="Arial" w:cs="Arial" w:ascii="Arial" w:hAnsi="Arial"/>
          <w:color w:val="000000" w:themeColor="text1"/>
          <w:sz w:val="22"/>
          <w:szCs w:val="22"/>
        </w:rPr>
        <w:t xml:space="preserve"> w</w:t>
      </w:r>
      <w:r>
        <w:rPr>
          <w:rFonts w:eastAsia="Arial" w:cs="Arial" w:ascii="Arial" w:hAnsi="Arial"/>
          <w:color w:val="000000" w:themeColor="text1"/>
          <w:sz w:val="22"/>
          <w:szCs w:val="22"/>
        </w:rPr>
        <w:t>ere</w:t>
      </w:r>
      <w:r>
        <w:rPr>
          <w:rFonts w:eastAsia="Arial" w:cs="Arial" w:ascii="Arial" w:hAnsi="Arial"/>
          <w:color w:val="000000" w:themeColor="text1"/>
          <w:sz w:val="22"/>
          <w:szCs w:val="22"/>
        </w:rPr>
        <w:t xml:space="preserve"> next used to create a diagonal matrix </w:t>
      </w:r>
      <w:r>
        <w:rPr>
          <w:rFonts w:eastAsia="Arial" w:cs="Arial" w:ascii="Arial" w:hAnsi="Arial"/>
          <w:color w:val="000000" w:themeColor="text1"/>
          <w:sz w:val="22"/>
          <w:szCs w:val="22"/>
        </w:rPr>
      </w:r>
      <m:oMath xmlns:m="http://schemas.openxmlformats.org/officeDocument/2006/math">
        <m:r>
          <w:rPr>
            <w:rFonts w:ascii="Cambria Math" w:hAnsi="Cambria Math"/>
          </w:rPr>
          <m:t xml:space="preserve">D</m:t>
        </m:r>
      </m:oMath>
      <w:r>
        <w:rPr>
          <w:rFonts w:eastAsia="Arial" w:cs="Arial" w:ascii="Arial" w:hAnsi="Arial"/>
          <w:color w:val="000000" w:themeColor="text1"/>
          <w:sz w:val="22"/>
          <w:szCs w:val="22"/>
        </w:rPr>
        <w:t xml:space="preserve">.The graph Laplacian was calculated for each sample by subtracting </w:t>
      </w:r>
      <w:r>
        <w:rPr>
          <w:rFonts w:eastAsia="Arial" w:cs="Arial" w:ascii="Arial" w:hAnsi="Arial"/>
          <w:color w:val="000000" w:themeColor="text1"/>
          <w:sz w:val="22"/>
          <w:szCs w:val="22"/>
        </w:rPr>
      </w:r>
      <m:oMath xmlns:m="http://schemas.openxmlformats.org/officeDocument/2006/math">
        <m:r>
          <w:rPr>
            <w:rFonts w:ascii="Cambria Math" w:hAnsi="Cambria Math"/>
          </w:rPr>
          <m:t xml:space="preserve">W</m:t>
        </m:r>
      </m:oMath>
      <w:r>
        <w:rPr>
          <w:rFonts w:eastAsia="Arial" w:cs="Arial" w:ascii="Arial" w:hAnsi="Arial"/>
          <w:color w:val="000000" w:themeColor="text1"/>
          <w:sz w:val="22"/>
          <w:szCs w:val="22"/>
        </w:rPr>
        <w:t xml:space="preserve"> from </w:t>
      </w:r>
      <w:r>
        <w:rPr>
          <w:rFonts w:eastAsia="Arial" w:cs="Arial" w:ascii="Arial" w:hAnsi="Arial"/>
          <w:color w:val="000000" w:themeColor="text1"/>
          <w:sz w:val="22"/>
          <w:szCs w:val="22"/>
        </w:rPr>
      </w:r>
      <m:oMath xmlns:m="http://schemas.openxmlformats.org/officeDocument/2006/math">
        <m:r>
          <w:rPr>
            <w:rFonts w:ascii="Cambria Math" w:hAnsi="Cambria Math"/>
          </w:rPr>
          <m:t xml:space="preserve">D</m:t>
        </m:r>
      </m:oMath>
      <w:r>
        <w:rPr>
          <w:rFonts w:eastAsia="Arial" w:cs="Arial" w:ascii="Arial" w:hAnsi="Arial"/>
          <w:color w:val="000000" w:themeColor="text1"/>
          <w:sz w:val="22"/>
          <w:szCs w:val="22"/>
        </w:rPr>
        <w:t xml:space="preserve">, giving the matrix </w:t>
      </w:r>
      <w:r>
        <w:rPr>
          <w:rFonts w:eastAsia="Arial" w:cs="Arial" w:ascii="Arial" w:hAnsi="Arial"/>
          <w:color w:val="000000" w:themeColor="text1"/>
          <w:sz w:val="22"/>
          <w:szCs w:val="22"/>
        </w:rPr>
      </w:r>
      <m:oMath xmlns:m="http://schemas.openxmlformats.org/officeDocument/2006/math">
        <m:r>
          <w:rPr>
            <w:rFonts w:ascii="Cambria Math" w:hAnsi="Cambria Math"/>
          </w:rPr>
          <m:t xml:space="preserve">L</m:t>
        </m:r>
      </m:oMath>
      <w:r>
        <w:rPr>
          <w:rFonts w:eastAsia="Arial" w:cs="Arial" w:ascii="Arial" w:hAnsi="Arial"/>
          <w:color w:val="000000" w:themeColor="text1"/>
          <w:sz w:val="22"/>
          <w:szCs w:val="22"/>
        </w:rPr>
        <w:t xml:space="preserve">. For each sample, 250 eigenvectors and eigenvalues were calculated for </w:t>
      </w:r>
      <w:r>
        <w:rPr>
          <w:rFonts w:eastAsia="Arial" w:cs="Arial" w:ascii="Arial" w:hAnsi="Arial"/>
          <w:color w:val="000000" w:themeColor="text1"/>
          <w:sz w:val="22"/>
          <w:szCs w:val="22"/>
        </w:rPr>
      </w:r>
      <m:oMath xmlns:m="http://schemas.openxmlformats.org/officeDocument/2006/math">
        <m:r>
          <w:rPr>
            <w:rFonts w:ascii="Cambria Math" w:hAnsi="Cambria Math"/>
          </w:rPr>
          <m:t xml:space="preserve">L</m:t>
        </m:r>
      </m:oMath>
      <w:r>
        <w:rPr>
          <w:rFonts w:eastAsia="Arial" w:cs="Arial" w:ascii="Arial" w:hAnsi="Arial"/>
          <w:color w:val="000000" w:themeColor="text1"/>
          <w:sz w:val="22"/>
          <w:szCs w:val="22"/>
        </w:rPr>
        <w:t xml:space="preserve"> and the sorted eigenvectors were used as input for a k-means clustering with </w:t>
      </w:r>
      <w:r>
        <w:rPr>
          <w:rFonts w:eastAsia="Arial" w:cs="Arial" w:ascii="Arial" w:hAnsi="Arial"/>
          <w:color w:val="000000" w:themeColor="text1"/>
          <w:sz w:val="22"/>
          <w:szCs w:val="22"/>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15</m:t>
        </m:r>
      </m:oMath>
      <w:r>
        <w:rPr>
          <w:rFonts w:eastAsia="Arial" w:cs="Arial" w:ascii="Arial" w:hAnsi="Arial"/>
          <w:color w:val="000000" w:themeColor="text1"/>
          <w:sz w:val="22"/>
          <w:szCs w:val="22"/>
        </w:rPr>
        <w:t xml:space="preserve"> on each sample. All cells from each of the samples were combined into a single dataset and a UMAP clustering was performed to confirm the quality of clustering and displayed in Fig. 1.</w:t>
      </w:r>
    </w:p>
    <w:p>
      <w:pPr>
        <w:pStyle w:val="Normal"/>
        <w:spacing w:lineRule="auto" w:line="240"/>
        <w:jc w:val="both"/>
        <w:rPr>
          <w:rFonts w:ascii="Arial" w:hAnsi="Arial" w:eastAsia="Arial" w:cs="Arial"/>
          <w:color w:val="000000" w:themeColor="text1"/>
          <w:sz w:val="22"/>
          <w:szCs w:val="22"/>
        </w:rPr>
      </w:pPr>
      <w:r>
        <w:rPr>
          <w:rFonts w:eastAsia="Arial" w:cs="Arial" w:ascii="Arial" w:hAnsi="Arial"/>
          <w:color w:val="000000" w:themeColor="text1"/>
          <w:sz w:val="22"/>
          <w:szCs w:val="22"/>
        </w:rPr>
        <w:t xml:space="preserve">Following the clustering, samples were labeled using clusters based on either anatomical regions or cell type association. Each clustering for the individual samples was first visually inspected for anatomical alignment with the following hippocampal subregions: CA1, CA2, CA3, and DG. Additionally, each of the samples showed an additional cluster in the DG related to DG interneurons that was labeled as one of the cell type clusters. During the labeling of clusters, if two clusters showed the same region these were combined together into a single cluster. In the end, a total of 11 clusters were analyzed </w:t>
      </w:r>
      <w:r>
        <w:rPr>
          <w:rFonts w:eastAsia="Arial" w:cs="Arial" w:ascii="Arial" w:hAnsi="Arial"/>
          <w:color w:val="000000" w:themeColor="text1"/>
          <w:sz w:val="22"/>
          <w:szCs w:val="22"/>
        </w:rPr>
        <w:t xml:space="preserve">from each sample, </w:t>
      </w:r>
      <w:r>
        <w:rPr>
          <w:rFonts w:eastAsia="Arial" w:cs="Arial" w:ascii="Arial" w:hAnsi="Arial"/>
          <w:color w:val="000000" w:themeColor="text1"/>
          <w:sz w:val="22"/>
          <w:szCs w:val="22"/>
        </w:rPr>
        <w:t>representing 4 regions, 6 cell types, and 1 cluster for the remaining unlabeled cells.</w:t>
      </w:r>
    </w:p>
    <w:p>
      <w:pPr>
        <w:pStyle w:val="Normal"/>
        <w:spacing w:lineRule="auto" w:line="240"/>
        <w:jc w:val="both"/>
        <w:rPr>
          <w:rFonts w:ascii="Arial" w:hAnsi="Arial" w:eastAsia="Arial" w:cs="Arial"/>
          <w:color w:val="000000" w:themeColor="text1"/>
          <w:sz w:val="22"/>
          <w:szCs w:val="22"/>
        </w:rPr>
      </w:pPr>
      <w:r>
        <w:rPr/>
      </w:r>
    </w:p>
    <w:p>
      <w:pPr>
        <w:pStyle w:val="Normal"/>
        <w:spacing w:lineRule="auto" w:line="240"/>
        <w:jc w:val="both"/>
        <w:rPr>
          <w:rFonts w:ascii="Arial" w:hAnsi="Arial"/>
          <w:i/>
          <w:i/>
          <w:iCs/>
        </w:rPr>
      </w:pPr>
      <w:r>
        <w:rPr>
          <w:rFonts w:ascii="Arial" w:hAnsi="Arial"/>
          <w:i/>
          <w:iCs/>
        </w:rPr>
        <w:t xml:space="preserve">Cell type identification. </w:t>
      </w:r>
      <w:r>
        <w:rPr>
          <w:rStyle w:val="DefaultParagraphFont"/>
          <w:rFonts w:ascii="Arial" w:hAnsi="Arial"/>
          <w:i w:val="false"/>
          <w:iCs w:val="false"/>
        </w:rPr>
        <w:t xml:space="preserve">In order to identify whether clusters were associated with a particular cell type, an analysis was performed to identify the predominant cell type in each of the remaining clusters that were not assigned to a hippocampal region. The cell types used in this analysis were: astrocytes, endothelial cells, microglia, oligodendrocytes, and neurons using gene lists from McKenzie et al. , as well as genes known to be identifiers for certain interneurons. The lists for each cell type in the original paper contain 1,000 genes per cell type. The genes contained in the Xenium dataset were then compared to these gene lists to identify potential marker genes within the data. All genes used are listed in Supp. Table X along with the corresponding cell type. In order to identify cell types, a z-scored gene matrix was first calculated for each hippocampal sample, normalizing each gene to a mean of zero. For each cell, the mean was calculated of all genes for a particular cell type and plotted as seen in Fig. 3. </w:t>
      </w:r>
    </w:p>
    <w:p>
      <w:pPr>
        <w:pStyle w:val="TextBody"/>
        <w:spacing w:lineRule="auto" w:line="240"/>
        <w:jc w:val="both"/>
        <w:rPr>
          <w:rFonts w:ascii="Arial" w:hAnsi="Arial"/>
          <w:i/>
          <w:i/>
          <w:iCs/>
        </w:rPr>
      </w:pPr>
      <w:r>
        <w:rPr>
          <w:rStyle w:val="DefaultParagraphFont"/>
          <w:rFonts w:ascii="Arial" w:hAnsi="Arial"/>
          <w:i w:val="false"/>
          <w:iCs w:val="false"/>
        </w:rPr>
        <w:t>With the mean z-score calculated for each set of cell-type genes, the values were plotted to the locations of the cells in each of the remaining clusters. For the sake of brevity, all clusters identified as being one of the 5 interneurons were assigned to the larger ’neuron’ cluster, but these groups could be used later for more in depth analysis of the data as a whole. Each of the clusters was examined and the cell-type with the largest mean z-score across all cells was selected as the identifier. In the case that there was no clear cell-type association across all cells in a cluster, those cells were left unlabeled and not included in the statistical analysis of the clusters between NSD and SD.</w:t>
      </w:r>
    </w:p>
    <w:p>
      <w:pPr>
        <w:pStyle w:val="TextBody"/>
        <w:spacing w:lineRule="auto" w:line="240"/>
        <w:jc w:val="both"/>
        <w:rPr>
          <w:rStyle w:val="DefaultParagraphFont"/>
          <w:i w:val="false"/>
          <w:i w:val="false"/>
          <w:iCs w:val="false"/>
        </w:rPr>
      </w:pPr>
      <w:r>
        <w:rPr>
          <w:rFonts w:ascii="Arial" w:hAnsi="Arial"/>
          <w:i/>
          <w:iCs/>
        </w:rPr>
      </w:r>
    </w:p>
    <w:p>
      <w:pPr>
        <w:pStyle w:val="TextBody"/>
        <w:spacing w:lineRule="auto" w:line="240"/>
        <w:jc w:val="both"/>
        <w:rPr>
          <w:rFonts w:ascii="Arial" w:hAnsi="Arial"/>
          <w:i/>
          <w:i/>
          <w:iCs/>
        </w:rPr>
      </w:pPr>
      <w:r>
        <w:rPr>
          <w:rStyle w:val="DefaultParagraphFont"/>
          <w:rFonts w:ascii="Arial" w:hAnsi="Arial"/>
          <w:i/>
          <w:iCs/>
        </w:rPr>
        <w:t>Differentially expressed gene analysis.</w:t>
      </w:r>
      <w:r>
        <w:rPr>
          <w:rStyle w:val="DefaultParagraphFont"/>
          <w:rFonts w:ascii="Arial" w:hAnsi="Arial"/>
          <w:i w:val="false"/>
          <w:iCs w:val="false"/>
        </w:rPr>
        <w:t xml:space="preserve"> Using the above defined cluster labels, t-tests were performed on each region. This was done by combining all cells from a given cluster in a single sample into a vector with all cells from the same cluster in the remaining samples of the same condition and performing an t-test between the </w:t>
      </w:r>
      <w:r>
        <w:rPr>
          <w:rStyle w:val="DefaultParagraphFont"/>
          <w:rFonts w:ascii="Arial" w:hAnsi="Arial"/>
          <w:i w:val="false"/>
          <w:iCs w:val="false"/>
        </w:rPr>
      </w:r>
      <m:oMath xmlns:m="http://schemas.openxmlformats.org/officeDocument/2006/math">
        <m:r>
          <w:rPr>
            <w:rFonts w:ascii="Cambria Math" w:hAnsi="Cambria Math"/>
          </w:rPr>
          <m:t xml:space="preserve">l</m:t>
        </m:r>
        <m:r>
          <w:rPr>
            <w:rFonts w:ascii="Cambria Math" w:hAnsi="Cambria Math"/>
          </w:rPr>
          <m:t xml:space="preserve">o</m:t>
        </m:r>
        <m:sSub>
          <m:e>
            <m:r>
              <w:rPr>
                <w:rFonts w:ascii="Cambria Math" w:hAnsi="Cambria Math"/>
              </w:rPr>
              <m:t xml:space="preserve">g</m:t>
            </m:r>
          </m:e>
          <m:sub>
            <m:r>
              <w:rPr>
                <w:rFonts w:ascii="Cambria Math" w:hAnsi="Cambria Math"/>
              </w:rPr>
              <m:t xml:space="preserve">2</m:t>
            </m:r>
          </m:sub>
        </m:sSub>
      </m:oMath>
      <w:r>
        <w:rPr>
          <w:rStyle w:val="DefaultParagraphFont"/>
          <w:rFonts w:ascii="Arial" w:hAnsi="Arial"/>
          <w:i w:val="false"/>
          <w:iCs w:val="false"/>
        </w:rPr>
        <w:t xml:space="preserve"> normalized gene counts for NSD and SD. Benjamini-Hochberg correction was used to account for false discovery rate. Fold change was calculated using the following equation:</w:t>
      </w:r>
    </w:p>
    <w:p>
      <w:pPr>
        <w:pStyle w:val="TextBody"/>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o</m:t>
          </m:r>
          <m:r>
            <w:rPr>
              <w:rFonts w:ascii="Cambria Math" w:hAnsi="Cambria Math"/>
            </w:rPr>
            <m:t xml:space="preserve">g</m:t>
          </m:r>
          <m:r>
            <w:rPr>
              <w:rFonts w:ascii="Cambria Math" w:hAnsi="Cambria Math"/>
            </w:rPr>
            <m:t xml:space="preserve">F</m:t>
          </m:r>
          <m:r>
            <w:rPr>
              <w:rFonts w:ascii="Cambria Math" w:hAnsi="Cambria Math"/>
            </w:rPr>
            <m:t xml:space="preserve">C</m:t>
          </m:r>
          <m:r>
            <w:rPr>
              <w:rFonts w:ascii="Cambria Math" w:hAnsi="Cambria Math"/>
            </w:rPr>
            <m:t xml:space="preserve">=</m:t>
          </m:r>
          <m:r>
            <w:rPr>
              <w:rFonts w:ascii="Cambria Math" w:hAnsi="Cambria Math"/>
            </w:rPr>
            <m:t xml:space="preserve">l</m:t>
          </m:r>
          <m:r>
            <w:rPr>
              <w:rFonts w:ascii="Cambria Math" w:hAnsi="Cambria Math"/>
            </w:rPr>
            <m:t xml:space="preserve">o</m:t>
          </m:r>
          <m:sSub>
            <m:e>
              <m:r>
                <w:rPr>
                  <w:rFonts w:ascii="Cambria Math" w:hAnsi="Cambria Math"/>
                </w:rPr>
                <m:t xml:space="preserve">g</m:t>
              </m:r>
            </m:e>
            <m:sub>
              <m:r>
                <w:rPr>
                  <w:rFonts w:ascii="Cambria Math" w:hAnsi="Cambria Math"/>
                </w:rPr>
                <m:t xml:space="preserve">2</m:t>
              </m:r>
            </m:sub>
          </m:sSub>
          <m:d>
            <m:dPr>
              <m:begChr m:val="("/>
              <m:endChr m:val=")"/>
            </m:dPr>
            <m:e>
              <m:f>
                <m:num>
                  <m:r>
                    <w:rPr>
                      <w:rFonts w:ascii="Cambria Math" w:hAnsi="Cambria Math"/>
                    </w:rPr>
                    <m:t xml:space="preserve">m</m:t>
                  </m:r>
                  <m:r>
                    <w:rPr>
                      <w:rFonts w:ascii="Cambria Math" w:hAnsi="Cambria Math"/>
                    </w:rPr>
                    <m:t xml:space="preserve">e</m:t>
                  </m:r>
                  <m:r>
                    <w:rPr>
                      <w:rFonts w:ascii="Cambria Math" w:hAnsi="Cambria Math"/>
                    </w:rPr>
                    <m:t xml:space="preserve">a</m:t>
                  </m:r>
                  <m:r>
                    <w:rPr>
                      <w:rFonts w:ascii="Cambria Math" w:hAnsi="Cambria Math"/>
                    </w:rPr>
                    <m:t xml:space="preserve">n</m:t>
                  </m:r>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e</m:t>
                  </m:r>
                  <m:r>
                    <w:rPr>
                      <w:rFonts w:ascii="Cambria Math" w:hAnsi="Cambria Math"/>
                    </w:rPr>
                    <m:t xml:space="preserve">c</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t</m:t>
                  </m:r>
                  <m:r>
                    <w:rPr>
                      <w:rFonts w:ascii="Cambria Math" w:hAnsi="Cambria Math"/>
                    </w:rPr>
                    <m:t xml:space="preserve">S</m:t>
                  </m:r>
                  <m:r>
                    <w:rPr>
                      <w:rFonts w:ascii="Cambria Math" w:hAnsi="Cambria Math"/>
                    </w:rPr>
                    <m:t xml:space="preserve">D</m:t>
                  </m:r>
                </m:num>
                <m:den>
                  <m:r>
                    <w:rPr>
                      <w:rFonts w:ascii="Cambria Math" w:hAnsi="Cambria Math"/>
                    </w:rPr>
                    <m:t xml:space="preserve">m</m:t>
                  </m:r>
                  <m:r>
                    <w:rPr>
                      <w:rFonts w:ascii="Cambria Math" w:hAnsi="Cambria Math"/>
                    </w:rPr>
                    <m:t xml:space="preserve">e</m:t>
                  </m:r>
                  <m:r>
                    <w:rPr>
                      <w:rFonts w:ascii="Cambria Math" w:hAnsi="Cambria Math"/>
                    </w:rPr>
                    <m:t xml:space="preserve">a</m:t>
                  </m:r>
                  <m:r>
                    <w:rPr>
                      <w:rFonts w:ascii="Cambria Math" w:hAnsi="Cambria Math"/>
                    </w:rPr>
                    <m:t xml:space="preserve">n</m:t>
                  </m:r>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e</m:t>
                  </m:r>
                  <m:r>
                    <w:rPr>
                      <w:rFonts w:ascii="Cambria Math" w:hAnsi="Cambria Math"/>
                    </w:rPr>
                    <m:t xml:space="preserve">c</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t</m:t>
                  </m:r>
                  <m:r>
                    <w:rPr>
                      <w:rFonts w:ascii="Cambria Math" w:hAnsi="Cambria Math"/>
                    </w:rPr>
                    <m:t xml:space="preserve">N</m:t>
                  </m:r>
                  <m:r>
                    <w:rPr>
                      <w:rFonts w:ascii="Cambria Math" w:hAnsi="Cambria Math"/>
                    </w:rPr>
                    <m:t xml:space="preserve">S</m:t>
                  </m:r>
                  <m:r>
                    <w:rPr>
                      <w:rFonts w:ascii="Cambria Math" w:hAnsi="Cambria Math"/>
                    </w:rPr>
                    <m:t xml:space="preserve">D</m:t>
                  </m:r>
                </m:den>
              </m:f>
            </m:e>
          </m:d>
        </m:oMath>
      </m:oMathPara>
    </w:p>
    <w:p>
      <w:pPr>
        <w:pStyle w:val="TextBody"/>
        <w:spacing w:lineRule="auto" w:line="240" w:before="0" w:after="140"/>
        <w:jc w:val="both"/>
        <w:rPr>
          <w:rFonts w:ascii="Arial" w:hAnsi="Arial"/>
          <w:i/>
          <w:i/>
          <w:iCs/>
        </w:rPr>
      </w:pPr>
      <w:r>
        <w:rPr>
          <w:rStyle w:val="DefaultParagraphFont"/>
          <w:rFonts w:ascii="Arial" w:hAnsi="Arial"/>
          <w:i w:val="false"/>
          <w:iCs w:val="false"/>
        </w:rPr>
        <w:t>In order to plot the data, the intensity of the color is a plot of the t-statistic value. This value was applied to all cells within a given cluster and plotted as either red for a positive t-statistic or blue for a negative t-statistic.</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roman"/>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4886"/>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b94886"/>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b94886"/>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b94886"/>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b94886"/>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b94886"/>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b94886"/>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94886"/>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94886"/>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94886"/>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94886"/>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b94886"/>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b94886"/>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b94886"/>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b94886"/>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b94886"/>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94886"/>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94886"/>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94886"/>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b9488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94886"/>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94886"/>
    <w:rPr>
      <w:i/>
      <w:iCs/>
      <w:color w:val="404040" w:themeColor="text1" w:themeTint="bf"/>
    </w:rPr>
  </w:style>
  <w:style w:type="character" w:styleId="IntenseEmphasis">
    <w:name w:val="Intense Emphasis"/>
    <w:basedOn w:val="DefaultParagraphFont"/>
    <w:uiPriority w:val="21"/>
    <w:qFormat/>
    <w:rsid w:val="00b94886"/>
    <w:rPr>
      <w:i/>
      <w:iCs/>
      <w:color w:val="0F4761" w:themeColor="accent1" w:themeShade="bf"/>
    </w:rPr>
  </w:style>
  <w:style w:type="character" w:styleId="IntenseQuoteChar" w:customStyle="1">
    <w:name w:val="Intense Quote Char"/>
    <w:basedOn w:val="DefaultParagraphFont"/>
    <w:link w:val="IntenseQuote"/>
    <w:uiPriority w:val="30"/>
    <w:qFormat/>
    <w:rsid w:val="00b94886"/>
    <w:rPr>
      <w:i/>
      <w:iCs/>
      <w:color w:val="0F4761" w:themeColor="accent1" w:themeShade="bf"/>
    </w:rPr>
  </w:style>
  <w:style w:type="character" w:styleId="IntenseReference">
    <w:name w:val="Intense Reference"/>
    <w:basedOn w:val="DefaultParagraphFont"/>
    <w:uiPriority w:val="32"/>
    <w:qFormat/>
    <w:rsid w:val="00b94886"/>
    <w:rPr>
      <w:b/>
      <w:bCs/>
      <w:smallCaps/>
      <w:color w:val="0F4761" w:themeColor="accent1" w:themeShade="bf"/>
      <w:spacing w:val="5"/>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9488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94886"/>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94886"/>
    <w:pPr>
      <w:spacing w:before="160" w:after="160"/>
      <w:jc w:val="center"/>
    </w:pPr>
    <w:rPr>
      <w:i/>
      <w:iCs/>
      <w:color w:val="404040" w:themeColor="text1" w:themeTint="bf"/>
    </w:rPr>
  </w:style>
  <w:style w:type="paragraph" w:styleId="ListParagraph">
    <w:name w:val="List Paragraph"/>
    <w:basedOn w:val="Normal"/>
    <w:uiPriority w:val="34"/>
    <w:qFormat/>
    <w:rsid w:val="00b94886"/>
    <w:pPr>
      <w:spacing w:before="0" w:after="160"/>
      <w:ind w:left="720" w:hanging="0"/>
      <w:contextualSpacing/>
    </w:pPr>
    <w:rPr/>
  </w:style>
  <w:style w:type="paragraph" w:styleId="IntenseQuote">
    <w:name w:val="Intense Quote"/>
    <w:basedOn w:val="Normal"/>
    <w:next w:val="Normal"/>
    <w:link w:val="IntenseQuoteChar"/>
    <w:uiPriority w:val="30"/>
    <w:qFormat/>
    <w:rsid w:val="00b94886"/>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Application>LibreOffice/7.3.7.2$Linux_X86_64 LibreOffice_project/30$Build-2</Application>
  <AppVersion>15.0000</AppVersion>
  <Pages>3</Pages>
  <Words>1282</Words>
  <Characters>6612</Characters>
  <CharactersWithSpaces>7898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2026-05-28T16:14:00Z</dcterms:created>
  <dc:creator>Quinones-Labernik, Pravda S</dc:creator>
  <dc:description/>
  <dc:language>en-US</dc:language>
  <cp:lastModifiedBy>Zeru Peterson</cp:lastModifiedBy>
  <dcterms:modified xsi:type="dcterms:W3CDTF">2026-06-01T08:06:59Z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