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sz w:val="22"/>
          <w:szCs w:val="22"/>
        </w:rPr>
      </w:pPr>
      <w:r>
        <w:rPr>
          <w:rFonts w:ascii="Arial" w:hAnsi="Arial"/>
          <w:b/>
          <w:bCs/>
          <w:i/>
          <w:iCs/>
          <w:sz w:val="22"/>
          <w:szCs w:val="22"/>
        </w:rPr>
        <w:t>Figure 1. Experimental design and clustering of Xenium data.</w:t>
      </w:r>
      <w:r>
        <w:rPr>
          <w:rFonts w:ascii="Arial" w:hAnsi="Arial"/>
          <w:sz w:val="22"/>
          <w:szCs w:val="22"/>
        </w:rPr>
        <w:t xml:space="preserve"> </w:t>
      </w:r>
      <w:r>
        <w:rPr>
          <w:rFonts w:ascii="Arial" w:hAnsi="Arial"/>
          <w:b/>
          <w:bCs/>
          <w:sz w:val="22"/>
          <w:szCs w:val="22"/>
        </w:rPr>
        <w:t>A</w:t>
      </w:r>
      <w:r>
        <w:rPr>
          <w:rFonts w:ascii="Arial" w:hAnsi="Arial"/>
          <w:sz w:val="22"/>
          <w:szCs w:val="22"/>
        </w:rPr>
        <w:t xml:space="preserve"> Shows the experimental design of the acute sleep deprivation study and the preparation of the Xenium slide for analysis. </w:t>
      </w:r>
      <w:r>
        <w:rPr>
          <w:rFonts w:ascii="Arial" w:hAnsi="Arial"/>
          <w:b/>
          <w:bCs/>
          <w:sz w:val="22"/>
          <w:szCs w:val="22"/>
        </w:rPr>
        <w:t>B</w:t>
      </w:r>
      <w:r>
        <w:rPr>
          <w:rFonts w:ascii="Arial" w:hAnsi="Arial"/>
          <w:sz w:val="22"/>
          <w:szCs w:val="22"/>
        </w:rPr>
        <w:t xml:space="preserve"> A representative image of the tissue used in the study, focused on the hippocampus with additional cortical tissue. </w:t>
      </w:r>
      <w:r>
        <w:rPr>
          <w:rFonts w:ascii="Arial" w:hAnsi="Arial"/>
          <w:b/>
          <w:bCs/>
          <w:sz w:val="22"/>
          <w:szCs w:val="22"/>
        </w:rPr>
        <w:t>C</w:t>
      </w:r>
      <w:r>
        <w:rPr>
          <w:rFonts w:ascii="Arial" w:hAnsi="Arial"/>
          <w:sz w:val="22"/>
          <w:szCs w:val="22"/>
        </w:rPr>
        <w:t xml:space="preserve"> Plotting of spectral clustering of a single sample displayed overlaid with the tissue image, with each color representing a unique cluster region. </w:t>
      </w:r>
      <w:r>
        <w:rPr>
          <w:rFonts w:ascii="Arial" w:hAnsi="Arial"/>
          <w:b/>
          <w:bCs/>
          <w:sz w:val="22"/>
          <w:szCs w:val="22"/>
        </w:rPr>
        <w:t>D</w:t>
      </w:r>
      <w:r>
        <w:rPr>
          <w:rFonts w:ascii="Arial" w:hAnsi="Arial"/>
          <w:sz w:val="22"/>
          <w:szCs w:val="22"/>
        </w:rPr>
        <w:t xml:space="preserve"> UMAP of all cells from all samples, with each color representing the same unique cluster as identified in all samples. Cells labeled in gray are identified as “unlabeled” because they did not associate with a specific cluster and were therefore excluded from the overall analysis. </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b/>
          <w:bCs/>
          <w:i/>
          <w:iCs/>
          <w:sz w:val="22"/>
          <w:szCs w:val="22"/>
        </w:rPr>
        <w:t>Figure 2. Volcano plots of differentially expressed genes per regionally defined cluster.</w:t>
      </w:r>
      <w:r>
        <w:rPr>
          <w:rFonts w:ascii="Arial" w:hAnsi="Arial"/>
          <w:sz w:val="22"/>
          <w:szCs w:val="22"/>
        </w:rPr>
        <w:t xml:space="preserve"> </w:t>
      </w:r>
      <w:r>
        <w:rPr>
          <w:rFonts w:ascii="Arial" w:hAnsi="Arial"/>
          <w:b/>
          <w:bCs/>
          <w:sz w:val="22"/>
          <w:szCs w:val="22"/>
        </w:rPr>
        <w:t>A</w:t>
      </w:r>
      <w:r>
        <w:rPr>
          <w:rFonts w:ascii="Arial" w:hAnsi="Arial"/>
          <w:sz w:val="22"/>
          <w:szCs w:val="22"/>
        </w:rPr>
        <w:t xml:space="preserve"> Bar graph showing the number of DEGs found in each of the regionally defined clusters. </w:t>
      </w:r>
      <w:r>
        <w:rPr>
          <w:rFonts w:ascii="Arial" w:hAnsi="Arial"/>
          <w:b/>
          <w:bCs/>
          <w:sz w:val="22"/>
          <w:szCs w:val="22"/>
        </w:rPr>
        <w:t>B</w:t>
      </w:r>
      <w:r>
        <w:rPr>
          <w:rFonts w:ascii="Arial" w:hAnsi="Arial"/>
          <w:sz w:val="22"/>
          <w:szCs w:val="22"/>
        </w:rPr>
        <w:t xml:space="preserve"> Volcano plot for DEGs in the CA1 region, with top ten genes based on p-value listed. </w:t>
      </w:r>
      <w:r>
        <w:rPr>
          <w:rFonts w:ascii="Arial" w:hAnsi="Arial"/>
          <w:b/>
          <w:bCs/>
          <w:sz w:val="22"/>
          <w:szCs w:val="22"/>
        </w:rPr>
        <w:t>C</w:t>
      </w:r>
      <w:r>
        <w:rPr>
          <w:rFonts w:ascii="Arial" w:hAnsi="Arial"/>
          <w:sz w:val="22"/>
          <w:szCs w:val="22"/>
        </w:rPr>
        <w:t xml:space="preserve"> Volcano plot for DEGs in the CA2 region, with top ten genes based on p-value listed. </w:t>
      </w:r>
      <w:r>
        <w:rPr>
          <w:rFonts w:ascii="Arial" w:hAnsi="Arial"/>
          <w:b/>
          <w:bCs/>
          <w:sz w:val="22"/>
          <w:szCs w:val="22"/>
        </w:rPr>
        <w:t>D</w:t>
      </w:r>
      <w:r>
        <w:rPr>
          <w:rFonts w:ascii="Arial" w:hAnsi="Arial"/>
          <w:sz w:val="22"/>
          <w:szCs w:val="22"/>
        </w:rPr>
        <w:t xml:space="preserve"> Volcano plot for DEGs in the CA3 region, with top ten genes based on p-value listed. </w:t>
      </w:r>
      <w:r>
        <w:rPr>
          <w:rFonts w:ascii="Arial" w:hAnsi="Arial"/>
          <w:b/>
          <w:bCs/>
          <w:sz w:val="22"/>
          <w:szCs w:val="22"/>
        </w:rPr>
        <w:t>E</w:t>
      </w:r>
      <w:r>
        <w:rPr>
          <w:rFonts w:ascii="Arial" w:hAnsi="Arial"/>
          <w:sz w:val="22"/>
          <w:szCs w:val="22"/>
        </w:rPr>
        <w:t xml:space="preserve"> Volcano plot for DEGs in the DG region, with top ten genes based on p-value listed. </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b/>
          <w:bCs/>
          <w:i/>
          <w:iCs/>
          <w:sz w:val="22"/>
          <w:szCs w:val="22"/>
        </w:rPr>
        <w:t xml:space="preserve">Figure 3. Volcano plots of differentially expressed genes per cell type defined cluster. </w:t>
      </w:r>
      <w:r>
        <w:rPr>
          <w:rFonts w:ascii="Arial" w:hAnsi="Arial"/>
          <w:b/>
          <w:bCs/>
          <w:i w:val="false"/>
          <w:iCs w:val="false"/>
          <w:sz w:val="22"/>
          <w:szCs w:val="22"/>
        </w:rPr>
        <w:t>A</w:t>
      </w:r>
      <w:r>
        <w:rPr>
          <w:rFonts w:ascii="Arial" w:hAnsi="Arial"/>
          <w:sz w:val="22"/>
          <w:szCs w:val="22"/>
        </w:rPr>
        <w:t xml:space="preserve"> Bar graph showing the number of DEGs found in each of the cell-type defined clusters. </w:t>
      </w:r>
      <w:r>
        <w:rPr>
          <w:rFonts w:ascii="Arial" w:hAnsi="Arial"/>
          <w:b/>
          <w:bCs/>
          <w:sz w:val="22"/>
          <w:szCs w:val="22"/>
        </w:rPr>
        <w:t>B</w:t>
      </w:r>
      <w:r>
        <w:rPr>
          <w:rFonts w:ascii="Arial" w:hAnsi="Arial"/>
          <w:sz w:val="22"/>
          <w:szCs w:val="22"/>
        </w:rPr>
        <w:t xml:space="preserve"> Volcano plot for DEGs in astrocytes, with top ten genes based on p-value listed. </w:t>
      </w:r>
      <w:r>
        <w:rPr>
          <w:rFonts w:ascii="Arial" w:hAnsi="Arial"/>
          <w:b/>
          <w:bCs/>
          <w:sz w:val="22"/>
          <w:szCs w:val="22"/>
        </w:rPr>
        <w:t>C</w:t>
      </w:r>
      <w:r>
        <w:rPr>
          <w:rFonts w:ascii="Arial" w:hAnsi="Arial"/>
          <w:sz w:val="22"/>
          <w:szCs w:val="22"/>
        </w:rPr>
        <w:t xml:space="preserve"> Volcano plot of DEGs in oligodendrocytes, with top ten genes based on p-value listed. </w:t>
      </w:r>
      <w:r>
        <w:rPr>
          <w:rFonts w:ascii="Arial" w:hAnsi="Arial"/>
          <w:b/>
          <w:bCs/>
          <w:sz w:val="22"/>
          <w:szCs w:val="22"/>
        </w:rPr>
        <w:t>D</w:t>
      </w:r>
      <w:r>
        <w:rPr>
          <w:rFonts w:ascii="Arial" w:hAnsi="Arial"/>
          <w:sz w:val="22"/>
          <w:szCs w:val="22"/>
        </w:rPr>
        <w:t xml:space="preserve"> Volcano plot of DEGs in microglia, with top three genes based on p-value listed. </w:t>
      </w:r>
      <w:r>
        <w:rPr>
          <w:rFonts w:ascii="Arial" w:hAnsi="Arial"/>
          <w:b/>
          <w:bCs/>
          <w:sz w:val="22"/>
          <w:szCs w:val="22"/>
        </w:rPr>
        <w:t>E</w:t>
      </w:r>
      <w:r>
        <w:rPr>
          <w:rFonts w:ascii="Arial" w:hAnsi="Arial"/>
          <w:sz w:val="22"/>
          <w:szCs w:val="22"/>
        </w:rPr>
        <w:t xml:space="preserve"> Volcano plot for endothelial, with top eight genes based on p-value listed. </w:t>
      </w:r>
      <w:r>
        <w:rPr>
          <w:rFonts w:ascii="Arial" w:hAnsi="Arial"/>
          <w:b/>
          <w:bCs/>
          <w:sz w:val="22"/>
          <w:szCs w:val="22"/>
        </w:rPr>
        <w:t>F</w:t>
      </w:r>
      <w:r>
        <w:rPr>
          <w:rFonts w:ascii="Arial" w:hAnsi="Arial"/>
          <w:sz w:val="22"/>
          <w:szCs w:val="22"/>
        </w:rPr>
        <w:t xml:space="preserve"> Volcano plot for DG hilus cells, with top five genes based on p-value listed. </w:t>
      </w:r>
      <w:r>
        <w:rPr>
          <w:rFonts w:ascii="Arial" w:hAnsi="Arial"/>
          <w:b/>
          <w:bCs/>
          <w:sz w:val="22"/>
          <w:szCs w:val="22"/>
        </w:rPr>
        <w:t>G</w:t>
      </w:r>
      <w:r>
        <w:rPr>
          <w:rFonts w:ascii="Arial" w:hAnsi="Arial"/>
          <w:sz w:val="22"/>
          <w:szCs w:val="22"/>
        </w:rPr>
        <w:t xml:space="preserve"> Volcano plot for remaining interneurons, with top four genes based on p-value listed.</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b/>
          <w:b/>
          <w:bCs/>
          <w:i/>
          <w:i/>
          <w:iCs/>
          <w:sz w:val="22"/>
          <w:szCs w:val="22"/>
        </w:rPr>
      </w:pPr>
      <w:r>
        <w:rPr>
          <w:rFonts w:ascii="Arial" w:hAnsi="Arial"/>
          <w:b/>
          <w:bCs/>
          <w:i/>
          <w:iCs/>
          <w:sz w:val="22"/>
          <w:szCs w:val="22"/>
        </w:rPr>
        <w:t xml:space="preserve">Figure 4. Differentially expressed genes following acute sleep deprivation. </w:t>
      </w:r>
      <w:r>
        <w:rPr>
          <w:rFonts w:ascii="Arial" w:hAnsi="Arial"/>
          <w:b w:val="false"/>
          <w:bCs w:val="false"/>
          <w:i w:val="false"/>
          <w:iCs w:val="false"/>
          <w:sz w:val="22"/>
          <w:szCs w:val="22"/>
        </w:rPr>
        <w:t xml:space="preserve">Each figure shows the mean log2 normalized gene expression counts for NSD and SD in the first two images of each figure, with the color bar scaled according to the maximum expression for each gene. The third image in each figure shows the regional t-statistic for each of the 10 clusters in one image, where the color of each cluster is defined by the t-statistic for NSD &gt; SD across all cells within a given cluster, with the color bar scaled to a minimum t-statistic of -4 and a maximum t-statistic of +4. </w:t>
      </w:r>
      <w:r>
        <w:rPr>
          <w:rFonts w:ascii="Arial" w:hAnsi="Arial"/>
          <w:b/>
          <w:bCs/>
          <w:i w:val="false"/>
          <w:iCs w:val="false"/>
          <w:sz w:val="22"/>
          <w:szCs w:val="22"/>
        </w:rPr>
        <w:t>A</w:t>
      </w:r>
      <w:r>
        <w:rPr>
          <w:rFonts w:ascii="Arial" w:hAnsi="Arial"/>
          <w:b w:val="false"/>
          <w:bCs w:val="false"/>
          <w:i w:val="false"/>
          <w:iCs w:val="false"/>
          <w:sz w:val="22"/>
          <w:szCs w:val="22"/>
        </w:rPr>
        <w:t xml:space="preserve"> </w:t>
      </w:r>
      <w:r>
        <w:rPr>
          <w:rFonts w:ascii="Arial" w:hAnsi="Arial"/>
          <w:b w:val="false"/>
          <w:bCs w:val="false"/>
          <w:i/>
          <w:iCs/>
          <w:sz w:val="22"/>
          <w:szCs w:val="22"/>
        </w:rPr>
        <w:t>Cirbp</w:t>
      </w:r>
      <w:r>
        <w:rPr>
          <w:rFonts w:ascii="Arial" w:hAnsi="Arial"/>
          <w:b w:val="false"/>
          <w:bCs w:val="false"/>
          <w:i w:val="false"/>
          <w:iCs w:val="false"/>
          <w:sz w:val="22"/>
          <w:szCs w:val="22"/>
        </w:rPr>
        <w:t xml:space="preserve"> showed a decrease in expression in the clusters: CA1, CA2, CA3, DG, DG hilus, astrocytes, endothelial cells, microglia, and oligodendrocytes (p &lt; 0.05 BH FDR). </w:t>
      </w:r>
      <w:r>
        <w:rPr>
          <w:rFonts w:ascii="Arial" w:hAnsi="Arial"/>
          <w:b/>
          <w:bCs/>
          <w:i w:val="false"/>
          <w:iCs w:val="false"/>
          <w:sz w:val="22"/>
          <w:szCs w:val="22"/>
        </w:rPr>
        <w:t>B</w:t>
      </w:r>
      <w:r>
        <w:rPr>
          <w:rFonts w:ascii="Arial" w:hAnsi="Arial"/>
          <w:b w:val="false"/>
          <w:bCs w:val="false"/>
          <w:i w:val="false"/>
          <w:iCs w:val="false"/>
          <w:sz w:val="22"/>
          <w:szCs w:val="22"/>
        </w:rPr>
        <w:t xml:space="preserve"> </w:t>
      </w:r>
      <w:r>
        <w:rPr>
          <w:rFonts w:ascii="Arial" w:hAnsi="Arial"/>
          <w:b w:val="false"/>
          <w:bCs w:val="false"/>
          <w:i/>
          <w:iCs/>
          <w:sz w:val="22"/>
          <w:szCs w:val="22"/>
        </w:rPr>
        <w:t>Rbm3</w:t>
      </w:r>
      <w:r>
        <w:rPr>
          <w:rFonts w:ascii="Arial" w:hAnsi="Arial"/>
          <w:b w:val="false"/>
          <w:bCs w:val="false"/>
          <w:i w:val="false"/>
          <w:iCs w:val="false"/>
          <w:sz w:val="22"/>
          <w:szCs w:val="22"/>
        </w:rPr>
        <w:t xml:space="preserve"> showed a decrease in expression in the clusters: CA1, CA3, DG, DG hilus, endothelial cells, microglia, and oligodendrocytes (p &lt; 0.05 BH FDR). **</w:t>
      </w:r>
      <w:r>
        <w:rPr>
          <w:rFonts w:ascii="Arial" w:hAnsi="Arial"/>
          <w:b/>
          <w:bCs/>
          <w:i w:val="false"/>
          <w:iCs w:val="false"/>
          <w:sz w:val="22"/>
          <w:szCs w:val="22"/>
        </w:rPr>
        <w:t>C</w:t>
      </w:r>
      <w:r>
        <w:rPr>
          <w:rFonts w:ascii="Arial" w:hAnsi="Arial"/>
          <w:b w:val="false"/>
          <w:bCs w:val="false"/>
          <w:i w:val="false"/>
          <w:iCs w:val="false"/>
          <w:sz w:val="22"/>
          <w:szCs w:val="22"/>
        </w:rPr>
        <w:t xml:space="preserve"> </w:t>
      </w:r>
      <w:r>
        <w:rPr>
          <w:rFonts w:ascii="Arial" w:hAnsi="Arial"/>
          <w:b w:val="false"/>
          <w:bCs w:val="false"/>
          <w:i/>
          <w:iCs/>
          <w:sz w:val="22"/>
          <w:szCs w:val="22"/>
        </w:rPr>
        <w:t>Dcn</w:t>
      </w:r>
      <w:r>
        <w:rPr>
          <w:rFonts w:ascii="Arial" w:hAnsi="Arial"/>
          <w:b w:val="false"/>
          <w:bCs w:val="false"/>
          <w:i w:val="false"/>
          <w:iCs w:val="false"/>
          <w:sz w:val="22"/>
          <w:szCs w:val="22"/>
        </w:rPr>
        <w:t xml:space="preserve"> showed an increase in expression in astrocytes (p &lt; 0.05 BH FDR).** </w:t>
      </w:r>
      <w:r>
        <w:rPr>
          <w:rFonts w:ascii="Arial" w:hAnsi="Arial"/>
          <w:b/>
          <w:bCs/>
          <w:i w:val="false"/>
          <w:iCs w:val="false"/>
          <w:sz w:val="22"/>
          <w:szCs w:val="22"/>
        </w:rPr>
        <w:t>D</w:t>
      </w:r>
      <w:r>
        <w:rPr>
          <w:rFonts w:ascii="Arial" w:hAnsi="Arial"/>
          <w:b w:val="false"/>
          <w:bCs w:val="false"/>
          <w:i w:val="false"/>
          <w:iCs w:val="false"/>
          <w:sz w:val="22"/>
          <w:szCs w:val="22"/>
        </w:rPr>
        <w:t xml:space="preserve"> </w:t>
      </w:r>
      <w:r>
        <w:rPr>
          <w:rFonts w:ascii="Arial" w:hAnsi="Arial"/>
          <w:b w:val="false"/>
          <w:bCs w:val="false"/>
          <w:i/>
          <w:iCs/>
          <w:sz w:val="22"/>
          <w:szCs w:val="22"/>
        </w:rPr>
        <w:t>Gpr161</w:t>
      </w:r>
      <w:r>
        <w:rPr>
          <w:rFonts w:ascii="Arial" w:hAnsi="Arial"/>
          <w:b w:val="false"/>
          <w:bCs w:val="false"/>
          <w:i w:val="false"/>
          <w:iCs w:val="false"/>
          <w:sz w:val="22"/>
          <w:szCs w:val="22"/>
        </w:rPr>
        <w:t xml:space="preserve"> showed an increase in expression in the CA1 (p &lt; 0.05 BH FDR). </w:t>
      </w:r>
      <w:r>
        <w:rPr>
          <w:rFonts w:ascii="Arial" w:hAnsi="Arial"/>
          <w:b/>
          <w:bCs/>
          <w:i w:val="false"/>
          <w:iCs w:val="false"/>
          <w:sz w:val="22"/>
          <w:szCs w:val="22"/>
        </w:rPr>
        <w:t>E</w:t>
      </w:r>
      <w:r>
        <w:rPr>
          <w:rFonts w:ascii="Arial" w:hAnsi="Arial"/>
          <w:b w:val="false"/>
          <w:bCs w:val="false"/>
          <w:i w:val="false"/>
          <w:iCs w:val="false"/>
          <w:sz w:val="22"/>
          <w:szCs w:val="22"/>
        </w:rPr>
        <w:t xml:space="preserve"> </w:t>
      </w:r>
      <w:r>
        <w:rPr>
          <w:rFonts w:ascii="Arial" w:hAnsi="Arial"/>
          <w:b w:val="false"/>
          <w:bCs w:val="false"/>
          <w:i/>
          <w:iCs/>
          <w:sz w:val="22"/>
          <w:szCs w:val="22"/>
        </w:rPr>
        <w:t>Jdp2</w:t>
      </w:r>
      <w:r>
        <w:rPr>
          <w:rFonts w:ascii="Arial" w:hAnsi="Arial"/>
          <w:b w:val="false"/>
          <w:bCs w:val="false"/>
          <w:i w:val="false"/>
          <w:iCs w:val="false"/>
          <w:sz w:val="22"/>
          <w:szCs w:val="22"/>
        </w:rPr>
        <w:t xml:space="preserve"> decreased expression in the CA3 (p &lt; 0.05 BH FDR). </w:t>
      </w:r>
      <w:r>
        <w:rPr>
          <w:rFonts w:ascii="Arial" w:hAnsi="Arial"/>
          <w:b/>
          <w:bCs/>
          <w:i w:val="false"/>
          <w:iCs w:val="false"/>
          <w:sz w:val="22"/>
          <w:szCs w:val="22"/>
        </w:rPr>
        <w:t>F</w:t>
      </w:r>
      <w:r>
        <w:rPr>
          <w:rFonts w:ascii="Arial" w:hAnsi="Arial"/>
          <w:b w:val="false"/>
          <w:bCs w:val="false"/>
          <w:i w:val="false"/>
          <w:iCs w:val="false"/>
          <w:sz w:val="22"/>
          <w:szCs w:val="22"/>
        </w:rPr>
        <w:t xml:space="preserve"> </w:t>
      </w:r>
      <w:r>
        <w:rPr>
          <w:rFonts w:ascii="Arial" w:hAnsi="Arial"/>
          <w:b w:val="false"/>
          <w:bCs w:val="false"/>
          <w:i/>
          <w:iCs/>
          <w:sz w:val="22"/>
          <w:szCs w:val="22"/>
        </w:rPr>
        <w:t>Egr3</w:t>
      </w:r>
      <w:r>
        <w:rPr>
          <w:rFonts w:ascii="Arial" w:hAnsi="Arial"/>
          <w:b w:val="false"/>
          <w:bCs w:val="false"/>
          <w:i w:val="false"/>
          <w:iCs w:val="false"/>
          <w:sz w:val="22"/>
          <w:szCs w:val="22"/>
        </w:rPr>
        <w:t xml:space="preserve"> showed a significant decrease in the DG (p &lt; 0.05 BH FDR).</w:t>
      </w:r>
    </w:p>
    <w:p>
      <w:pPr>
        <w:pStyle w:val="Normal"/>
        <w:bidi w:val="0"/>
        <w:jc w:val="start"/>
        <w:rPr>
          <w:b w:val="false"/>
          <w:b w:val="false"/>
          <w:bCs w:val="false"/>
          <w:i w:val="false"/>
          <w:i w:val="false"/>
          <w:iCs w:val="false"/>
        </w:rPr>
      </w:pPr>
      <w:r>
        <w:rPr>
          <w:b w:val="false"/>
          <w:bCs w:val="false"/>
          <w:i w:val="false"/>
          <w:iCs w:val="false"/>
        </w:rPr>
      </w:r>
    </w:p>
    <w:p>
      <w:pPr>
        <w:pStyle w:val="Normal"/>
        <w:bidi w:val="0"/>
        <w:jc w:val="start"/>
        <w:rPr>
          <w:rFonts w:ascii="Arial" w:hAnsi="Arial"/>
          <w:b/>
          <w:b/>
          <w:bCs/>
          <w:i/>
          <w:i/>
          <w:iCs/>
          <w:sz w:val="22"/>
          <w:szCs w:val="22"/>
        </w:rPr>
      </w:pPr>
      <w:r>
        <w:rPr>
          <w:rFonts w:ascii="Arial" w:hAnsi="Arial"/>
          <w:b w:val="false"/>
          <w:bCs w:val="false"/>
          <w:i w:val="false"/>
          <w:iCs w:val="false"/>
          <w:sz w:val="22"/>
          <w:szCs w:val="22"/>
        </w:rPr>
        <w:t xml:space="preserve">**Figure 5 might become part </w:t>
      </w:r>
      <w:r>
        <w:rPr>
          <w:rFonts w:ascii="Arial" w:hAnsi="Arial"/>
          <w:b/>
          <w:bCs/>
          <w:i w:val="false"/>
          <w:iCs w:val="false"/>
          <w:sz w:val="22"/>
          <w:szCs w:val="22"/>
        </w:rPr>
        <w:t>A</w:t>
      </w:r>
      <w:r>
        <w:rPr>
          <w:rFonts w:ascii="Arial" w:hAnsi="Arial"/>
          <w:b w:val="false"/>
          <w:bCs w:val="false"/>
          <w:i w:val="false"/>
          <w:iCs w:val="false"/>
          <w:sz w:val="22"/>
          <w:szCs w:val="22"/>
        </w:rPr>
        <w:t xml:space="preserve"> of figure 4**</w:t>
      </w:r>
    </w:p>
    <w:p>
      <w:pPr>
        <w:pStyle w:val="Normal"/>
        <w:bidi w:val="0"/>
        <w:jc w:val="start"/>
        <w:rPr>
          <w:b w:val="false"/>
          <w:b w:val="false"/>
          <w:bCs w:val="false"/>
          <w:i w:val="false"/>
          <w:i w:val="false"/>
          <w:iCs w:val="false"/>
        </w:rPr>
      </w:pPr>
      <w:r>
        <w:rPr>
          <w:b w:val="false"/>
          <w:bCs w:val="false"/>
          <w:i w:val="false"/>
          <w:iCs w:val="false"/>
        </w:rPr>
      </w:r>
    </w:p>
    <w:p>
      <w:pPr>
        <w:pStyle w:val="Normal"/>
        <w:bidi w:val="0"/>
        <w:jc w:val="start"/>
        <w:rPr>
          <w:rFonts w:ascii="Arial" w:hAnsi="Arial"/>
          <w:b/>
          <w:b/>
          <w:bCs/>
          <w:i/>
          <w:i/>
          <w:iCs/>
          <w:sz w:val="22"/>
          <w:szCs w:val="22"/>
        </w:rPr>
      </w:pPr>
      <w:r>
        <w:rPr>
          <w:rFonts w:ascii="Arial" w:hAnsi="Arial"/>
          <w:b/>
          <w:bCs/>
          <w:i/>
          <w:iCs/>
          <w:sz w:val="22"/>
          <w:szCs w:val="22"/>
        </w:rPr>
        <w:t xml:space="preserve">Figure 5. UpSet plot of showing unique and intersecting DEGs following analysis. </w:t>
      </w:r>
      <w:r>
        <w:rPr>
          <w:rFonts w:ascii="Arial" w:hAnsi="Arial"/>
          <w:b w:val="false"/>
          <w:bCs w:val="false"/>
          <w:i w:val="false"/>
          <w:iCs w:val="false"/>
          <w:sz w:val="22"/>
          <w:szCs w:val="22"/>
        </w:rPr>
        <w:t>The bar graph along the top of the plot shows the number of DEGs specific to a certain intersection between clusters, with the columns of cluster unique DEGs being colored with the cluster specific color. The bar graph on the left of the figure shows the number of DEGs within each cluster, both unique and intersecting. The UpSet matrix in the center shows intersections between different set of clusters, with a black line indicating that certain DEGs are shared between the regions indicated by filled in circles. Only intersections with 3 or more DEGs in the upper bar graph following Benjamini-Hochberg correction at p &lt; 0.05 were included. The full UpSet plot can be seen in Supplemental Figure X.</w:t>
      </w:r>
    </w:p>
    <w:p>
      <w:pPr>
        <w:pStyle w:val="Normal"/>
        <w:bidi w:val="0"/>
        <w:jc w:val="start"/>
        <w:rPr>
          <w:b w:val="false"/>
          <w:b w:val="false"/>
          <w:bCs w:val="false"/>
          <w:i w:val="false"/>
          <w:i w:val="false"/>
          <w:iCs w:val="false"/>
        </w:rPr>
      </w:pPr>
      <w:r>
        <w:rPr>
          <w:b w:val="false"/>
          <w:bCs w:val="false"/>
          <w:i w:val="false"/>
          <w:iCs w:val="false"/>
        </w:rPr>
      </w:r>
    </w:p>
    <w:p>
      <w:pPr>
        <w:pStyle w:val="Normal"/>
        <w:bidi w:val="0"/>
        <w:jc w:val="start"/>
        <w:rPr>
          <w:rFonts w:ascii="Arial" w:hAnsi="Arial"/>
          <w:b/>
          <w:b/>
          <w:bCs/>
          <w:i/>
          <w:i/>
          <w:iCs/>
          <w:sz w:val="22"/>
          <w:szCs w:val="22"/>
        </w:rPr>
      </w:pPr>
      <w:r>
        <w:rPr>
          <w:rFonts w:ascii="Arial" w:hAnsi="Arial"/>
          <w:b/>
          <w:bCs/>
          <w:i/>
          <w:iCs/>
          <w:sz w:val="22"/>
          <w:szCs w:val="22"/>
        </w:rPr>
        <w:t xml:space="preserve">Supplemental Figure 1. Results of spectral clustering for all samples. </w:t>
      </w:r>
      <w:r>
        <w:rPr>
          <w:rFonts w:ascii="Arial" w:hAnsi="Arial"/>
          <w:b w:val="false"/>
          <w:bCs w:val="false"/>
          <w:i w:val="false"/>
          <w:iCs w:val="false"/>
          <w:sz w:val="22"/>
          <w:szCs w:val="22"/>
        </w:rPr>
        <w:t xml:space="preserve">All samples are shown with their tissue image as well as each cell used in analysis colored with the cluster specific color. </w:t>
      </w:r>
    </w:p>
    <w:p>
      <w:pPr>
        <w:pStyle w:val="Normal"/>
        <w:bidi w:val="0"/>
        <w:jc w:val="start"/>
        <w:rPr>
          <w:b w:val="false"/>
          <w:b w:val="false"/>
          <w:bCs w:val="false"/>
          <w:i w:val="false"/>
          <w:i w:val="false"/>
          <w:iCs w:val="false"/>
        </w:rPr>
      </w:pPr>
      <w:r>
        <w:rPr>
          <w:b w:val="false"/>
          <w:bCs w:val="false"/>
          <w:i w:val="false"/>
          <w:iCs w:val="false"/>
        </w:rPr>
      </w:r>
    </w:p>
    <w:p>
      <w:pPr>
        <w:pStyle w:val="Normal"/>
        <w:bidi w:val="0"/>
        <w:jc w:val="start"/>
        <w:rPr>
          <w:rFonts w:ascii="Arial" w:hAnsi="Arial"/>
          <w:b/>
          <w:b/>
          <w:bCs/>
          <w:i/>
          <w:i/>
          <w:iCs/>
          <w:sz w:val="22"/>
          <w:szCs w:val="22"/>
        </w:rPr>
      </w:pPr>
      <w:r>
        <w:rPr>
          <w:rFonts w:ascii="Arial" w:hAnsi="Arial"/>
          <w:b/>
          <w:bCs/>
          <w:i/>
          <w:iCs/>
          <w:sz w:val="22"/>
          <w:szCs w:val="22"/>
        </w:rPr>
        <w:t xml:space="preserve">Supplemental Figure 2. UMAP showing only NSD cells, only SD cells, and all cells combined. </w:t>
      </w:r>
      <w:r>
        <w:rPr>
          <w:rFonts w:ascii="Arial" w:hAnsi="Arial"/>
          <w:b w:val="false"/>
          <w:bCs w:val="false"/>
          <w:i w:val="false"/>
          <w:iCs w:val="false"/>
          <w:sz w:val="22"/>
          <w:szCs w:val="22"/>
        </w:rPr>
        <w:t xml:space="preserve"> Each figure shows the UMAP of all cells in a condition labeled with the clusters as identified using spectral clustering. Overlap between the conditions shows that NSD or SD alone do not drive the clustering in any of the conditions, and that the regional and cell type clusters are ubiquitous across conditions. </w:t>
      </w:r>
      <w:r>
        <w:rPr>
          <w:rFonts w:ascii="Arial" w:hAnsi="Arial"/>
          <w:b/>
          <w:bCs/>
          <w:i w:val="false"/>
          <w:iCs w:val="false"/>
          <w:sz w:val="22"/>
          <w:szCs w:val="22"/>
        </w:rPr>
        <w:t>A</w:t>
      </w:r>
      <w:r>
        <w:rPr>
          <w:rFonts w:ascii="Arial" w:hAnsi="Arial"/>
          <w:b w:val="false"/>
          <w:bCs w:val="false"/>
          <w:i w:val="false"/>
          <w:iCs w:val="false"/>
          <w:sz w:val="22"/>
          <w:szCs w:val="22"/>
        </w:rPr>
        <w:t xml:space="preserve"> Shows the UMAP of all cells from NSD animals combined into one dataset. </w:t>
      </w:r>
      <w:r>
        <w:rPr>
          <w:rFonts w:ascii="Arial" w:hAnsi="Arial"/>
          <w:b/>
          <w:bCs/>
          <w:i w:val="false"/>
          <w:iCs w:val="false"/>
          <w:sz w:val="22"/>
          <w:szCs w:val="22"/>
        </w:rPr>
        <w:t>B</w:t>
      </w:r>
      <w:r>
        <w:rPr>
          <w:rFonts w:ascii="Arial" w:hAnsi="Arial"/>
          <w:b w:val="false"/>
          <w:bCs w:val="false"/>
          <w:i w:val="false"/>
          <w:iCs w:val="false"/>
          <w:sz w:val="22"/>
          <w:szCs w:val="22"/>
        </w:rPr>
        <w:t xml:space="preserve"> Shows the UMAP of all cells from SD animals combined into one dataset. </w:t>
      </w:r>
      <w:r>
        <w:rPr>
          <w:rFonts w:ascii="Arial" w:hAnsi="Arial"/>
          <w:b/>
          <w:bCs/>
          <w:i w:val="false"/>
          <w:iCs w:val="false"/>
          <w:sz w:val="22"/>
          <w:szCs w:val="22"/>
        </w:rPr>
        <w:t>C</w:t>
      </w:r>
      <w:r>
        <w:rPr>
          <w:rFonts w:ascii="Arial" w:hAnsi="Arial"/>
          <w:b w:val="false"/>
          <w:bCs w:val="false"/>
          <w:i w:val="false"/>
          <w:iCs w:val="false"/>
          <w:sz w:val="22"/>
          <w:szCs w:val="22"/>
        </w:rPr>
        <w:t xml:space="preserve"> Shows the UMAP of all NSD and SD animals combined into one dataset. </w:t>
      </w:r>
    </w:p>
    <w:p>
      <w:pPr>
        <w:pStyle w:val="Normal"/>
        <w:bidi w:val="0"/>
        <w:jc w:val="start"/>
        <w:rPr>
          <w:b w:val="false"/>
          <w:b w:val="false"/>
          <w:bCs w:val="false"/>
          <w:i w:val="false"/>
          <w:i w:val="false"/>
          <w:iCs w:val="false"/>
        </w:rPr>
      </w:pPr>
      <w:r>
        <w:rPr>
          <w:b w:val="false"/>
          <w:bCs w:val="false"/>
          <w:i w:val="false"/>
          <w:iCs w:val="false"/>
        </w:rPr>
      </w:r>
    </w:p>
    <w:p>
      <w:pPr>
        <w:pStyle w:val="Normal"/>
        <w:bidi w:val="0"/>
        <w:jc w:val="start"/>
        <w:rPr>
          <w:rFonts w:ascii="Arial" w:hAnsi="Arial"/>
          <w:b/>
          <w:b/>
          <w:bCs/>
          <w:i/>
          <w:i/>
          <w:iCs/>
          <w:sz w:val="22"/>
          <w:szCs w:val="22"/>
        </w:rPr>
      </w:pPr>
      <w:r>
        <w:rPr>
          <w:rFonts w:ascii="Arial" w:hAnsi="Arial"/>
          <w:b/>
          <w:bCs/>
          <w:i/>
          <w:iCs/>
          <w:sz w:val="22"/>
          <w:szCs w:val="22"/>
        </w:rPr>
        <w:t xml:space="preserve">Supplemental Figure 3. Regionally specific gene expression within regionally-defined clusters. </w:t>
      </w:r>
      <w:r>
        <w:rPr>
          <w:rFonts w:ascii="Arial" w:hAnsi="Arial"/>
          <w:b w:val="false"/>
          <w:bCs w:val="false"/>
          <w:i w:val="false"/>
          <w:iCs w:val="false"/>
          <w:sz w:val="22"/>
          <w:szCs w:val="22"/>
        </w:rPr>
        <w:t xml:space="preserve">The rows show the expression of a single gene, while the columns show the spots of a single cluster. The confirmation of assignment of a specific cluster label CA1, CA2, CA3, DG, or DG hilus to each cluster is dependent on the expression of specific genes. </w:t>
      </w:r>
      <w:r>
        <w:rPr>
          <w:rFonts w:ascii="Arial" w:hAnsi="Arial"/>
          <w:b w:val="false"/>
          <w:bCs w:val="false"/>
          <w:i/>
          <w:iCs/>
          <w:sz w:val="22"/>
          <w:szCs w:val="22"/>
        </w:rPr>
        <w:t xml:space="preserve">Wfs1 </w:t>
      </w:r>
      <w:r>
        <w:rPr>
          <w:rFonts w:ascii="Arial" w:hAnsi="Arial"/>
          <w:b w:val="false"/>
          <w:bCs w:val="false"/>
          <w:i w:val="false"/>
          <w:iCs w:val="false"/>
          <w:sz w:val="22"/>
          <w:szCs w:val="22"/>
        </w:rPr>
        <w:t xml:space="preserve">expression is linked to dorsal CA1. </w:t>
      </w:r>
      <w:r>
        <w:rPr>
          <w:rFonts w:ascii="Arial" w:hAnsi="Arial"/>
          <w:b w:val="false"/>
          <w:bCs w:val="false"/>
          <w:i/>
          <w:iCs/>
          <w:sz w:val="22"/>
          <w:szCs w:val="22"/>
        </w:rPr>
        <w:t>Dusp5</w:t>
      </w:r>
      <w:r>
        <w:rPr>
          <w:rFonts w:ascii="Arial" w:hAnsi="Arial"/>
          <w:b w:val="false"/>
          <w:bCs w:val="false"/>
          <w:i w:val="false"/>
          <w:iCs w:val="false"/>
          <w:sz w:val="22"/>
          <w:szCs w:val="22"/>
        </w:rPr>
        <w:t xml:space="preserve"> expression is linked to CA2, but also forms a gradient of expression that leaks into the CA1 and CA3. </w:t>
      </w:r>
      <w:r>
        <w:rPr>
          <w:rFonts w:ascii="Arial" w:hAnsi="Arial"/>
          <w:b w:val="false"/>
          <w:bCs w:val="false"/>
          <w:i/>
          <w:iCs/>
          <w:sz w:val="22"/>
          <w:szCs w:val="22"/>
        </w:rPr>
        <w:t xml:space="preserve">Slit2 </w:t>
      </w:r>
      <w:r>
        <w:rPr>
          <w:rFonts w:ascii="Arial" w:hAnsi="Arial"/>
          <w:b w:val="false"/>
          <w:bCs w:val="false"/>
          <w:i w:val="false"/>
          <w:iCs w:val="false"/>
          <w:sz w:val="22"/>
          <w:szCs w:val="22"/>
        </w:rPr>
        <w:t xml:space="preserve">expression is linked to CA3 expression, forming a gradient that is higher in distal CA3 and becoming lower as it nears the DG. </w:t>
      </w:r>
      <w:r>
        <w:rPr>
          <w:rFonts w:ascii="Arial" w:hAnsi="Arial"/>
          <w:b w:val="false"/>
          <w:bCs w:val="false"/>
          <w:i/>
          <w:iCs/>
          <w:sz w:val="22"/>
          <w:szCs w:val="22"/>
        </w:rPr>
        <w:t>Prox1</w:t>
      </w:r>
      <w:r>
        <w:rPr>
          <w:rFonts w:ascii="Arial" w:hAnsi="Arial"/>
          <w:b w:val="false"/>
          <w:bCs w:val="false"/>
          <w:i w:val="false"/>
          <w:iCs w:val="false"/>
          <w:sz w:val="22"/>
          <w:szCs w:val="22"/>
        </w:rPr>
        <w:t xml:space="preserve"> expression is linked to DG pyramidal cells. </w:t>
      </w:r>
      <w:r>
        <w:rPr>
          <w:rFonts w:ascii="Arial" w:hAnsi="Arial"/>
          <w:b w:val="false"/>
          <w:bCs w:val="false"/>
          <w:i/>
          <w:iCs/>
          <w:sz w:val="22"/>
          <w:szCs w:val="22"/>
        </w:rPr>
        <w:t>Calb2</w:t>
      </w:r>
      <w:r>
        <w:rPr>
          <w:rFonts w:ascii="Arial" w:hAnsi="Arial"/>
          <w:b w:val="false"/>
          <w:bCs w:val="false"/>
          <w:i w:val="false"/>
          <w:iCs w:val="false"/>
          <w:sz w:val="22"/>
          <w:szCs w:val="22"/>
        </w:rPr>
        <w:t xml:space="preserve"> expression is linked to mossy cells within the DG hilus. The color bar for all images are from white, meaning no expression, to dark red, meaning high expression. Each cell shows the log2 gene expression of the given gene in that cell.</w:t>
      </w:r>
    </w:p>
    <w:p>
      <w:pPr>
        <w:pStyle w:val="Normal"/>
        <w:bidi w:val="0"/>
        <w:jc w:val="start"/>
        <w:rPr>
          <w:b w:val="false"/>
          <w:b w:val="false"/>
          <w:bCs w:val="false"/>
          <w:i w:val="false"/>
          <w:i w:val="false"/>
          <w:iCs w:val="false"/>
        </w:rPr>
      </w:pPr>
      <w:r>
        <w:rPr>
          <w:b w:val="false"/>
          <w:bCs w:val="false"/>
          <w:i w:val="false"/>
          <w:iCs w:val="false"/>
        </w:rPr>
      </w:r>
    </w:p>
    <w:p>
      <w:pPr>
        <w:pStyle w:val="Normal"/>
        <w:bidi w:val="0"/>
        <w:jc w:val="start"/>
        <w:rPr>
          <w:rFonts w:ascii="Arial" w:hAnsi="Arial"/>
          <w:b/>
          <w:b/>
          <w:bCs/>
          <w:i/>
          <w:i/>
          <w:iCs/>
          <w:sz w:val="22"/>
          <w:szCs w:val="22"/>
        </w:rPr>
      </w:pPr>
      <w:r>
        <w:rPr>
          <w:rFonts w:ascii="Arial" w:hAnsi="Arial"/>
          <w:b w:val="false"/>
          <w:bCs w:val="false"/>
          <w:i w:val="false"/>
          <w:iCs w:val="false"/>
          <w:sz w:val="22"/>
          <w:szCs w:val="22"/>
        </w:rPr>
        <w:t>**I’ve included two descriptions, one for when blue is included, one for when blue is excluded**</w:t>
      </w:r>
    </w:p>
    <w:p>
      <w:pPr>
        <w:pStyle w:val="Normal"/>
        <w:bidi w:val="0"/>
        <w:jc w:val="start"/>
        <w:rPr>
          <w:rFonts w:ascii="Arial" w:hAnsi="Arial"/>
          <w:b/>
          <w:b/>
          <w:bCs/>
          <w:i/>
          <w:i/>
          <w:iCs/>
          <w:sz w:val="22"/>
          <w:szCs w:val="22"/>
        </w:rPr>
      </w:pPr>
      <w:r>
        <w:rPr>
          <w:rFonts w:ascii="Arial" w:hAnsi="Arial"/>
          <w:b/>
          <w:bCs/>
          <w:i/>
          <w:iCs/>
          <w:sz w:val="22"/>
          <w:szCs w:val="22"/>
        </w:rPr>
        <w:t>Supplemental Figure 4. Mean z-score of cell type gene markers within cell type-defined clusters.</w:t>
      </w:r>
      <w:r>
        <w:rPr>
          <w:rFonts w:ascii="Arial" w:hAnsi="Arial"/>
          <w:b w:val="false"/>
          <w:bCs w:val="false"/>
          <w:i w:val="false"/>
          <w:iCs w:val="false"/>
          <w:sz w:val="22"/>
          <w:szCs w:val="22"/>
        </w:rPr>
        <w:t xml:space="preserve"> The rows relate to a particular gene list, while the columns relate to a particular cluster. Each cell shows the mean z-score from all genes included in the gene marker list defined in Supplemental Table X. A high z-score (colored in red) in a cell means that the cell has higher expression of all genes in a particular gene list than other cells in the hippocampal formation. A z-score close to 0 (colored in white) means that a cell has a similar level of expression of all genes in a particular gene list to the rest of the cells in the entire hippocampal formation. A low z-score (colored in blue) in a cell means that the cell has lower expression of all genes in a gene list than the rest of the cells in the hippocampal formation. Selection of cluster label was based on whether the average of the mean z-score across all cells was greater than 1 (meaning that all cells in a cluster on average had a z-score &gt; 1). The color bar is scaled from -2 (dark blue) to 2 (dark red) with 0 (white) in the center.</w:t>
      </w:r>
    </w:p>
    <w:p>
      <w:pPr>
        <w:pStyle w:val="Normal"/>
        <w:bidi w:val="0"/>
        <w:jc w:val="start"/>
        <w:rPr>
          <w:b w:val="false"/>
          <w:b w:val="false"/>
          <w:bCs w:val="false"/>
          <w:i w:val="false"/>
          <w:i w:val="false"/>
          <w:iCs w:val="false"/>
        </w:rPr>
      </w:pPr>
      <w:r>
        <w:rPr>
          <w:b w:val="false"/>
          <w:bCs w:val="false"/>
          <w:i w:val="false"/>
          <w:iCs w:val="false"/>
        </w:rPr>
      </w:r>
    </w:p>
    <w:p>
      <w:pPr>
        <w:pStyle w:val="Normal"/>
        <w:bidi w:val="0"/>
        <w:jc w:val="start"/>
        <w:rPr>
          <w:rFonts w:ascii="Arial" w:hAnsi="Arial"/>
          <w:b/>
          <w:b/>
          <w:bCs/>
          <w:i/>
          <w:i/>
          <w:iCs/>
          <w:sz w:val="22"/>
          <w:szCs w:val="22"/>
        </w:rPr>
      </w:pPr>
      <w:r>
        <w:rPr>
          <w:rFonts w:ascii="Arial" w:hAnsi="Arial"/>
          <w:b/>
          <w:bCs/>
          <w:i/>
          <w:iCs/>
          <w:sz w:val="22"/>
          <w:szCs w:val="22"/>
        </w:rPr>
        <w:t>Supplemental Figure 4. Mean z-score of cell type gene markers within cell type-defined clusters.</w:t>
      </w:r>
      <w:r>
        <w:rPr>
          <w:rFonts w:ascii="Arial" w:hAnsi="Arial"/>
          <w:b w:val="false"/>
          <w:bCs w:val="false"/>
          <w:i w:val="false"/>
          <w:iCs w:val="false"/>
          <w:sz w:val="22"/>
          <w:szCs w:val="22"/>
        </w:rPr>
        <w:t xml:space="preserve"> The rows relate to a particular gene list, while the columns relate to a particular cluster. Each cell shows the mean z-score from all genes included in the gene marker list defined in Supplemental Table X. A high z-score (colored in red) in a cell means that the cell has higher expression of all genes in a particular gene list than other cells in the hippocampal formation. A z-score close to 0 (colored in white) means that a cell has a similar level of expression of all genes in a particular gene list to the rest of the cells in the entire hippocampal formation. Any cells with a low z-score have been set to 0, since a z-score below 0 is not more informative than 0. Selection of cluster label was based on whether the average of the mean z-score across all cells was greater than 1 (meaning that all cells in a cluster on average had a z-score &gt; 1). The color bar is scaled from 0 (white) to 2 (dark red). </w:t>
      </w:r>
    </w:p>
    <w:p>
      <w:pPr>
        <w:pStyle w:val="Normal"/>
        <w:bidi w:val="0"/>
        <w:jc w:val="start"/>
        <w:rPr>
          <w:b w:val="false"/>
          <w:b w:val="false"/>
          <w:bCs w:val="false"/>
          <w:i w:val="false"/>
          <w:i w:val="false"/>
          <w:iCs w:val="false"/>
        </w:rPr>
      </w:pPr>
      <w:r>
        <w:rPr>
          <w:b w:val="false"/>
          <w:bCs w:val="false"/>
          <w:i w:val="false"/>
          <w:iCs w:val="false"/>
        </w:rPr>
      </w:r>
    </w:p>
    <w:p>
      <w:pPr>
        <w:pStyle w:val="Normal"/>
        <w:bidi w:val="0"/>
        <w:jc w:val="start"/>
        <w:rPr>
          <w:rFonts w:ascii="Arial" w:hAnsi="Arial"/>
          <w:b/>
          <w:b/>
          <w:bCs/>
          <w:i/>
          <w:i/>
          <w:iCs/>
          <w:sz w:val="22"/>
          <w:szCs w:val="22"/>
        </w:rPr>
      </w:pPr>
      <w:r>
        <w:rPr>
          <w:rFonts w:ascii="Arial" w:hAnsi="Arial"/>
          <w:b/>
          <w:bCs/>
          <w:i/>
          <w:iCs/>
          <w:sz w:val="22"/>
          <w:szCs w:val="22"/>
        </w:rPr>
        <w:t xml:space="preserve">Supplemental Figure 5. UpSet plot for the complete set of unique and intersecting differentially expressed gene lists. </w:t>
      </w:r>
      <w:r>
        <w:rPr>
          <w:rFonts w:ascii="Arial" w:hAnsi="Arial"/>
          <w:b w:val="false"/>
          <w:bCs w:val="false"/>
          <w:i w:val="false"/>
          <w:iCs w:val="false"/>
          <w:sz w:val="22"/>
          <w:szCs w:val="22"/>
        </w:rPr>
        <w:t>The bar graph along the top of the plot shows the number of DEGs specific to a certain intersection between clusters, with the columns of cluster unique DEGs being colored with the cluster specific color. The bar graph on the left of the figure shows the number of DEGs within each cluster, both unique and intersecting. The UpSet matrix in the center shows intersections between different set of clusters, with a black line indicating that certain DEGs are shared between the regions indicated by filled in circles. Only genes with p-value &lt; 0.05 BH FDR were included in the figure.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665</TotalTime>
  <Application>LibreOffice/7.3.7.2$Linux_X86_64 LibreOffice_project/30$Build-2</Application>
  <AppVersion>15.0000</AppVersion>
  <Pages>2</Pages>
  <Words>1502</Words>
  <Characters>7103</Characters>
  <CharactersWithSpaces>8598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2026-06-08T01:52:14Z</dcterms:created>
  <dc:creator>Zeru Peterson</dc:creator>
  <dc:description/>
  <dc:language>en-US</dc:language>
  <cp:lastModifiedBy>Zeru Peterson</cp:lastModifiedBy>
  <dcterms:modified xsi:type="dcterms:W3CDTF">2026-06-22T09:56:20Z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