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生态兼容性最强，LangChain/LlamaIndex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</w:t>
            </w:r>
            <w:r>
              <w:t xml:space="preserve">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新模型接入不需要改代码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统一抽象层，每供应商一个</w:t>
            </w:r>
            <w:r>
              <w:t xml:space="preserve"> Adapter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新增供应商只需实现</w:t>
            </w:r>
            <w:r>
              <w:t xml:space="preserve"> Adapter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  <w:r>
              <w:t xml:space="preserve"> (Semantic </w:t>
            </w:r>
            <w:r>
              <w:rPr>
                <w:rFonts w:hint="eastAsia"/>
              </w:rPr>
              <w:t xml:space="preserve">Cache)，非精确匹配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场景精确匹配命中率极低，语义相似匹配可提升</w:t>
            </w:r>
            <w:r>
              <w:t xml:space="preserve"> 20-30% </w:t>
            </w:r>
            <w:r>
              <w:rPr>
                <w:rFonts w:hint="eastAsia"/>
              </w:rPr>
              <w:t xml:space="preserve">缓存命中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防止单租户打爆某个模型，保障公平性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LiteLLM </w:t>
            </w: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轻量级，定制灵活，无框架绑定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文档结束。下一步：用户审阅</w:t>
      </w:r>
      <w:r>
        <w:rPr>
          <w:i/>
          <w:iCs/>
        </w:rPr>
        <w:t xml:space="preserve"> → </w:t>
      </w:r>
      <w:r>
        <w:rPr>
          <w:rFonts w:hint="eastAsia"/>
          <w:i/>
          <w:iCs/>
        </w:rPr>
        <w:t xml:space="preserve">移交实施计划。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2026-05-15T02:15:22Z</dcterms:created>
  <dcterms:modified xsi:type="dcterms:W3CDTF">2026-05-15T02:15:22Z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