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EvoResearch 详细分析与开发设计说明</w:t>
      </w:r>
    </w:p>
    <w:p>
      <w:pPr>
        <w:pStyle w:val="Subtitle"/>
      </w:pPr>
      <w:r>
        <w:rPr>
          <w:color w:val="000000"/>
        </w:rPr>
        <w:t>领域模型 · 用例模型 · 顺序图 · DSH 与开源组件集成 · 类与接口契约</w:t>
      </w:r>
    </w:p>
    <w:p>
      <w:r>
        <w:t>设计范围：机器学习与人工智能计算实验。Graphiti 统一承担知识图谱管理和 RAG 检索，不再单独集成 LightRAG。五轮迭代计划不变，本轮实施跨任务泛化。</w:t>
      </w:r>
    </w:p>
    <w:p>
      <w:pPr>
        <w:pStyle w:val="Heading1"/>
      </w:pPr>
      <w:r>
        <w:rPr>
          <w:color w:val="000000"/>
        </w:rPr>
        <w:t>1. 实施定位和组件边界</w:t>
      </w:r>
    </w:p>
    <w:p>
      <w:pPr/>
      <w:r>
        <w:t>DSH/Cordis 作为统一运行环境、智能体入口和插件挂载点；EvoResearch 自己负责科研项目、实验工作流与知识流转业务语义。</w:t>
      </w:r>
    </w:p>
    <w:p>
      <w:pPr/>
      <w:r>
        <w:t>AutoResearch 的 Engine、Store、tasks.py、api.py、executor.py 为已有代码。第二阶段通过 TaskTemplate、TaskProvider 与 TaskRegistry 统一任务分派，复用候选迭代、预算控制、验证和最终测试流程；知识协同在后续迭代实现。</w:t>
      </w:r>
    </w:p>
    <w:p>
      <w:pPr/>
      <w:r>
        <w:t>MLflow 负责实验记录；Graphiti 负责知识写入、图谱查询与混合检索。一个 GraphitiAdapter 实现 KnowledgeGraphPort 和 RetrieverPort，并检查写入后的检索可见性。DSH Session 与实验运行分离。</w:t>
      </w:r>
    </w:p>
    <w:p>
      <w:pPr/>
      <w:r>
        <w:t>只扩展 DSH 的正式扩展点，不直接复制修改其内部 Agent Loop；无法确认的外部 API 保留适配层接口，以免将建议方法误写成已存在接口。</w:t>
      </w:r>
    </w:p>
    <w:p>
      <w:pPr>
        <w:pStyle w:val="Heading1"/>
      </w:pPr>
      <w:r>
        <w:rPr>
          <w:color w:val="000000"/>
        </w:rPr>
        <w:t>2. 用例模型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2"/>
        <w:gridCol w:w="3192"/>
        <w:gridCol w:w="3192"/>
      </w:tblGrid>
      <w:tr>
        <w:trPr>
          <w:cantSplit/>
          <w:tblHeader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编号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用例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UC01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创建与管理科研项目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设置研究目标与资料范围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UC02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导入论文并构建知识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PDF/文献元数据解析、增量入库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UC03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论文和实验知识问答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联合检索并展示证据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UC04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查看科研知识关系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图谱关系与来源可视化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UC05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配置 AI 实验任务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数据集、指标、预算、允许修改路径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UC06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自动执行与迭代实验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方案、代码、训练、评估、循环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UC07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监控/停止/恢复实验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状态及错误处理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UC08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对比与导出结果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指标、代码版本、模型及日志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UC09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历史知识辅助规划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论文与已有实验指导下一次候选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UC10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自动回流实验知识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完成事件触发结构化入库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UC11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图谱写入与检索可见性检查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通过 Graphiti 核验新增记录可检索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UC12</w:t>
            </w:r>
          </w:p>
        </w:tc>
        <w:tc>
          <w:tcPr>
            <w:tcW w:type="dxa" w:w="309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配置系统与实验资源</w:t>
            </w:r>
          </w:p>
        </w:tc>
        <w:tc>
          <w:tcPr>
            <w:tcW w:type="dxa" w:w="540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管理员操作</w:t>
            </w:r>
          </w:p>
        </w:tc>
      </w:tr>
    </w:tbl>
    <w:p>
      <w:r>
        <w:t>参与者：科研人员（UC01–UC09）、管理员（UC12）；UC10/11 由业务事件触发。UC09 是开启知识增强时的可选行为，UC10 由实验完成触发。</w:t>
      </w:r>
    </w:p>
    <w:p>
      <w:pPr>
        <w:pStyle w:val="Heading1"/>
      </w:pPr>
      <w:r>
        <w:rPr>
          <w:color w:val="000000"/>
        </w:rPr>
        <w:t>3. 领域模型与建模约束</w:t>
      </w:r>
    </w:p>
    <w:p>
      <w:pPr>
        <w:pStyle w:val="Heading2"/>
      </w:pPr>
      <w:r>
        <w:rPr>
          <w:color w:val="000000"/>
        </w:rPr>
        <w:t>ResearchProject</w:t>
      </w:r>
    </w:p>
    <w:p>
      <w:r>
        <w:t>一个项目可以拥有多篇论文、多项实验任务；项目 ID 是统一业务分区键。</w:t>
      </w:r>
    </w:p>
    <w:p>
      <w:pPr>
        <w:pStyle w:val="Heading2"/>
      </w:pPr>
      <w:r>
        <w:rPr>
          <w:color w:val="000000"/>
        </w:rPr>
        <w:t>ExperimentTask</w:t>
      </w:r>
    </w:p>
    <w:p>
      <w:r>
        <w:t>描述科研目标、任务模板、指标方向、预算及可修改代码范围。</w:t>
      </w:r>
    </w:p>
    <w:p>
      <w:pPr>
        <w:pStyle w:val="Heading2"/>
      </w:pPr>
      <w:r>
        <w:rPr>
          <w:color w:val="000000"/>
        </w:rPr>
        <w:t>ExperimentRun</w:t>
      </w:r>
    </w:p>
    <w:p>
      <w:r>
        <w:t>一次任务启动形成一个运行，状态 queued / running / completed / failed / stopped / interrupted。</w:t>
      </w:r>
    </w:p>
    <w:p>
      <w:pPr>
        <w:pStyle w:val="Heading2"/>
      </w:pPr>
      <w:r>
        <w:rPr>
          <w:color w:val="000000"/>
        </w:rPr>
        <w:t>ExperimentTrial</w:t>
      </w:r>
    </w:p>
    <w:p>
      <w:r>
        <w:t>Run 内一次候选实验；包括候选修改、随机种子、运行状态；失败不必有有效结果。</w:t>
      </w:r>
    </w:p>
    <w:p>
      <w:pPr>
        <w:pStyle w:val="Heading2"/>
      </w:pPr>
      <w:r>
        <w:rPr>
          <w:color w:val="000000"/>
        </w:rPr>
        <w:t>ExperimentResult / Artifact</w:t>
      </w:r>
    </w:p>
    <w:p>
      <w:r>
        <w:t>结果包含 metrics、有效性和基线差；产物包含 URI、hash、类型与代码版本。</w:t>
      </w:r>
    </w:p>
    <w:p>
      <w:pPr>
        <w:pStyle w:val="Heading2"/>
      </w:pPr>
      <w:r>
        <w:rPr>
          <w:color w:val="000000"/>
        </w:rPr>
        <w:t>KnowledgeRecord</w:t>
      </w:r>
    </w:p>
    <w:p>
      <w:r>
        <w:t>从论文或实验提取的来源明确的知识条目，保留 project_id 与 source_ref。</w:t>
      </w:r>
    </w:p>
    <w:p>
      <w:pPr>
        <w:pStyle w:val="Heading2"/>
      </w:pPr>
      <w:r>
        <w:rPr>
          <w:color w:val="000000"/>
        </w:rPr>
        <w:t>KnowledgeEntity / Relation</w:t>
      </w:r>
    </w:p>
    <w:p>
      <w:r>
        <w:t>图谱实体与关系；科研方法、模型、数据集、实验作为通用类型。</w:t>
      </w:r>
    </w:p>
    <w:p>
      <w:pPr>
        <w:pStyle w:val="Heading2"/>
      </w:pPr>
      <w:r>
        <w:rPr>
          <w:color w:val="000000"/>
        </w:rPr>
        <w:t>KnowledgeIngestion</w:t>
      </w:r>
    </w:p>
    <w:p>
      <w:r>
        <w:t>与实验运行分离的入库状态机：pending → graph_written → visibility_pending → retrievable；失败可进入 retryable_failure 或 invalid。graph_written 仅表示写入成功，须核验新增记录在对应项目内可被 Graphiti 检索到。</w:t>
      </w:r>
    </w:p>
    <w:p>
      <w:r>
        <w:t>约束：同一 ExperimentCompleted.event_id 不能重复生成知识；同一个来源保留固定幂等键；实验成功后图谱写入失败不应回滚模型训练。</w:t>
      </w:r>
    </w:p>
    <w:p>
      <w:pPr>
        <w:pStyle w:val="Heading1"/>
      </w:pPr>
      <w:r>
        <w:rPr>
          <w:color w:val="000000"/>
        </w:rPr>
        <w:t>4. 设计类图：开源代码如何进入我们的类体系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92"/>
        <w:gridCol w:w="3192"/>
        <w:gridCol w:w="3192"/>
      </w:tblGrid>
      <w:tr>
        <w:trPr>
          <w:cantSplit/>
          <w:tblHeader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类 / 组件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状态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职责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DSH/ctx.tools、ctx.jobs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官方扩展点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注册科研工具、按文档管理作业和会话，不视为实验领域对象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EvoResearchPlugin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第一阶段已有，第二阶段扩展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注册实验工具及模板目录，调用 WorkflowService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ResearchWorkflowService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第一阶段已有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业务入口与项目、实验状态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AutoResearchAdapter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第一阶段已有，第二阶段扩展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统一任务契约，原子入队与运行映射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Engine、Store、tasks.py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已存在的项目开发代码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负责研究循环、存储与任务模板函数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MLflowAdapter / MlflowClient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拟新增适配器 / 官方类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保存 trial 参数、指标、产物并维护映射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GraphitiAdapter / Graphiti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后续迭代实现 / 官方类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统一知识写入、图谱查询、混合检索与可见性检查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KnowledgeIngestionService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后续迭代实现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事件幂等、结构化、图谱写入及检索可见性重试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ZoteroAdapter</w:t>
            </w:r>
          </w:p>
        </w:tc>
        <w:tc>
          <w:tcPr>
            <w:tcW w:type="dxa" w:w="2376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拟新增，外部接口待核对</w:t>
            </w:r>
          </w:p>
        </w:tc>
        <w:tc>
          <w:tcPr>
            <w:tcW w:type="dxa" w:w="3744"/>
          </w:tcPr>
          <w:p>
            <w:pPr>
              <w:spacing w:after="100" w:before="100" w:line="276" w:lineRule="auto"/>
            </w:pPr>
            <w:r>
              <w:rPr>
                <w:sz w:val="20"/>
              </w:rPr>
              <w:t>论文获取及元数据映射</w:t>
            </w:r>
          </w:p>
        </w:tc>
      </w:tr>
    </w:tbl>
    <w:p>
      <w:pPr>
        <w:pStyle w:val="Heading1"/>
      </w:pPr>
      <w:r>
        <w:rPr>
          <w:color w:val="000000"/>
        </w:rPr>
        <w:t>5. 核心 API 接口草案</w:t>
      </w:r>
    </w:p>
    <w:p>
      <w:pPr/>
      <w:r>
        <w:rPr>
          <w:rFonts w:ascii="Consolas" w:hAnsi="Consolas"/>
        </w:rPr>
        <w:t>• ExperimentEnginePort.start(task, evidence) -&gt; RunReceipt</w:t>
      </w:r>
    </w:p>
    <w:p>
      <w:pPr/>
      <w:r>
        <w:rPr>
          <w:rFonts w:ascii="Consolas" w:hAnsi="Consolas"/>
        </w:rPr>
        <w:t>• ExperimentEnginePort.status(run_id) -&gt; RunStatus</w:t>
      </w:r>
    </w:p>
    <w:p>
      <w:pPr/>
      <w:r>
        <w:rPr>
          <w:rFonts w:ascii="Consolas" w:hAnsi="Consolas"/>
        </w:rPr>
        <w:t>• ExperimentEnginePort.stop(run_id) -&gt; bool</w:t>
      </w:r>
    </w:p>
    <w:p>
      <w:pPr/>
      <w:r>
        <w:rPr>
          <w:rFonts w:ascii="Consolas" w:hAnsi="Consolas"/>
        </w:rPr>
        <w:t>• ExperimentTrackerPort.record_trial(run_id,trial_id,config,metrics) -&gt; external_run_id</w:t>
      </w:r>
    </w:p>
    <w:p>
      <w:pPr/>
      <w:r>
        <w:rPr>
          <w:rFonts w:ascii="Consolas" w:hAnsi="Consolas"/>
        </w:rPr>
        <w:t>• ExperimentTrackerPort.get_evidence(run_id,trial_id) -&gt; ExperimentEvidence</w:t>
      </w:r>
    </w:p>
    <w:p>
      <w:pPr/>
      <w:r>
        <w:rPr>
          <w:rFonts w:ascii="Consolas" w:hAnsi="Consolas"/>
        </w:rPr>
        <w:t>• KnowledgeGraphPort.upsert_records(records,idempotency_key) -&gt; record_ids</w:t>
      </w:r>
    </w:p>
    <w:p>
      <w:pPr/>
      <w:r>
        <w:rPr>
          <w:rFonts w:ascii="Consolas" w:hAnsi="Consolas"/>
        </w:rPr>
        <w:t>• RetrieverPort.retrieve(query, project_id, limit) -&gt; Evidence[]</w:t>
      </w:r>
    </w:p>
    <w:p>
      <w:pPr/>
      <w:r>
        <w:rPr>
          <w:rFonts w:ascii="Consolas" w:hAnsi="Consolas"/>
          <w:sz w:val="18"/>
        </w:rPr>
        <w:t>• KnowledgeIndexPort.verify_retrievable(project_id, record_ids) -&gt; retrievable_record_ids</w:t>
      </w:r>
    </w:p>
    <w:p>
      <w:r>
        <w:t>这些是业务适配层契约，定义见代码/正式代码/1_contracts，不是外部官方同名 API。GraphitiAdapter 统一实现知识写入、图谱查询、混合检索和可见性检查；KnowledgeIndexPort 仅保留逻辑检查职责，不代表独立索引服务。</w:t>
      </w:r>
    </w:p>
    <w:p>
      <w:pPr>
        <w:pStyle w:val="Heading1"/>
      </w:pPr>
      <w:r>
        <w:rPr>
          <w:color w:val="000000"/>
        </w:rPr>
        <w:t>6. 关键顺序说明</w:t>
      </w:r>
    </w:p>
    <w:p>
      <w:pPr>
        <w:pStyle w:val="Heading2"/>
      </w:pPr>
      <w:r>
        <w:rPr>
          <w:color w:val="000000"/>
        </w:rPr>
        <w:t>6.1 知识增强自主实验</w:t>
      </w:r>
    </w:p>
    <w:p>
      <w:r>
        <w:t>用户配置实验→DSH 校验→（可选）通过 GraphitiAdapter 混合检索论文与历史实验→AutoResearchAdapter 启动统一任务循环→训练与评估→MLflow 记录→持久化 ExperimentCompleted→展示结果。检索证据保留来源；测试集不进入候选决策。</w:t>
      </w:r>
    </w:p>
    <w:p>
      <w:pPr>
        <w:pStyle w:val="Heading2"/>
      </w:pPr>
      <w:r>
        <w:rPr>
          <w:color w:val="000000"/>
        </w:rPr>
        <w:t>6.2 实验知识自动回流</w:t>
      </w:r>
    </w:p>
    <w:p>
      <w:r>
        <w:t>完成事件→幂等检查→读取实验指标与产物→核验来源→生成 KnowledgeRecord→GraphitiAdapter 写入→标记 graph_written→检查对应记录是否可通过 Graphiti 检索→全部可见后标记 retrievable。未全部可见则 visibility_pending，只重试检查；不得重复生成知识或回滚已完成实验。</w:t>
      </w:r>
    </w:p>
    <w:p>
      <w:pPr>
        <w:pStyle w:val="Heading2"/>
      </w:pPr>
      <w:r>
        <w:rPr>
          <w:color w:val="000000"/>
        </w:rPr>
        <w:t>6.3 论文知识入库与问答</w:t>
      </w:r>
    </w:p>
    <w:p>
      <w:r>
        <w:t>文献导入→PDF 解析与知识抽取→GraphitiAdapter 幂等写入→按项目及记录映射检查检索可见性→返回入库状态。用户仍经同一 GraphitiAdapter 混合检索论文和实验知识，并显示来源；不调用 LightRAG 或独立索引同步服务。</w:t>
      </w:r>
    </w:p>
    <w:p>
      <w:pPr>
        <w:pStyle w:val="Heading1"/>
      </w:pPr>
      <w:r>
        <w:rPr>
          <w:color w:val="000000"/>
        </w:rPr>
        <w:t>7. 按代码开发的实施顺序</w:t>
      </w:r>
    </w:p>
    <w:p>
      <w:pPr>
        <w:pStyle w:val="ListNumber"/>
      </w:pPr>
      <w:r>
        <w:t>迭代 1：DSH 科研工具启动实验、查询实验运行状态；复用正在开发的 Engine/Store。</w:t>
      </w:r>
    </w:p>
    <w:p>
      <w:pPr>
        <w:pStyle w:val="ListNumber"/>
      </w:pPr>
      <w:r>
        <w:t>迭代 2：统一任务契约，至少支持图像分类和时间序列；加入第三类任务验证泛化。</w:t>
      </w:r>
    </w:p>
    <w:p>
      <w:pPr>
        <w:pStyle w:val="ListNumber"/>
      </w:pPr>
      <w:r>
        <w:t>迭代 3：MLflow 映射与持久化完成事件；保证实验状态与入库状态隔离。</w:t>
      </w:r>
    </w:p>
    <w:p>
      <w:pPr>
        <w:pStyle w:val="ListNumber"/>
      </w:pPr>
      <w:r>
        <w:t>迭代 4：Graphiti 入库、写入后的检索可见性检查、来源追溯和重试机制。</w:t>
      </w:r>
    </w:p>
    <w:p>
      <w:pPr>
        <w:pStyle w:val="ListNumber"/>
      </w:pPr>
      <w:r>
        <w:t>迭代 5：基于 Graphiti 的论文与历史实验联合 RAG；知识增强 vs 无增强进行固定预算对照实验。</w:t>
      </w:r>
    </w:p>
    <w:p>
      <w:pPr>
        <w:pStyle w:val="Heading1"/>
      </w:pPr>
      <w:r>
        <w:rPr>
          <w:color w:val="000000"/>
        </w:rPr>
        <w:t>8. 当前需要核对的外部依赖</w:t>
      </w:r>
    </w:p>
    <w:p>
      <w:r>
        <w:t>Graphiti 后续需验证 add_episode、search/search_、项目分区、来源映射及检索可见性；普通 top-k 查询遗漏不等同写入失败。DSH、MLflow 和 Zotero 仍需按部署版本核对。本阶段不连接图数据库、嵌入或 LLM，不引入 LightRAG。</w:t>
      </w:r>
    </w:p>
    <w:p>
      <w:pPr>
        <w:pStyle w:val="Heading1"/>
      </w:pPr>
      <w:r>
        <w:rPr>
          <w:color w:val="000000"/>
        </w:rPr>
        <w:t>9. 参考源</w:t>
      </w:r>
    </w:p>
    <w:p>
      <w:r>
        <w:t>DSH 架构：https://github.com/deepseek-ai/deepseek-harness/blob/master/docs/architecture.md</w:t>
      </w:r>
    </w:p>
    <w:p>
      <w:r>
        <w:t>Cordis Primer：https://github.com/deepseek-ai/deepseek-harness/blob/master/docs/cordis-primer.md</w:t>
      </w:r>
    </w:p>
    <w:p>
      <w:r>
        <w:t>Graphiti：https://github.com/getzep/graphiti</w:t>
      </w:r>
    </w:p>
    <w:p>
      <w:r>
        <w:t>MLflow API：https://www.mlflow.org/docs/latest/api_reference/python_api/mlflow.client.html</w:t>
      </w:r>
    </w:p>
    <w:p>
      <w:r>
        <w:t>来源代码：用户提供的 AutoResearch 第二阶段统一整合包（仅用于核对现有实际类与函数）</w:t>
      </w:r>
    </w:p>
    <w:sectPr w:rsidR="00FC693F" w:rsidRPr="0006063C" w:rsidSect="00034616">
      <w:pgSz w:w="12240" w:h="15840"/>
      <w:pgMar w:top="1191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36" w:lineRule="auto"/>
    </w:pPr>
    <w:rPr>
      <w:rFonts w:ascii="微软雅黑" w:hAnsi="微软雅黑"/>
      <w:color w:val="28333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